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37" w:rsidRPr="000A6B0A" w:rsidRDefault="001E3837" w:rsidP="00EB2163">
      <w:pPr>
        <w:jc w:val="center"/>
        <w:rPr>
          <w:rFonts w:asciiTheme="minorHAnsi" w:hAnsiTheme="minorHAnsi" w:cs="Calibri"/>
          <w:sz w:val="20"/>
          <w:szCs w:val="20"/>
          <w:lang w:val="en-GB"/>
        </w:rPr>
      </w:pPr>
      <w:bookmarkStart w:id="0" w:name="MinuteTopicSection"/>
    </w:p>
    <w:p w:rsidR="001E3837" w:rsidRPr="000A6B0A" w:rsidRDefault="001E3837" w:rsidP="00EB2163">
      <w:pPr>
        <w:jc w:val="center"/>
        <w:rPr>
          <w:rFonts w:asciiTheme="minorHAnsi" w:hAnsiTheme="minorHAnsi" w:cs="Calibri"/>
          <w:sz w:val="20"/>
          <w:szCs w:val="20"/>
          <w:lang w:val="en-GB"/>
        </w:rPr>
      </w:pPr>
    </w:p>
    <w:p w:rsidR="001E3837" w:rsidRPr="000A6B0A" w:rsidRDefault="001E3837" w:rsidP="00EB2163">
      <w:pPr>
        <w:jc w:val="center"/>
        <w:rPr>
          <w:rFonts w:asciiTheme="minorHAnsi" w:hAnsiTheme="minorHAnsi" w:cs="Calibri"/>
          <w:sz w:val="20"/>
          <w:szCs w:val="20"/>
          <w:lang w:val="en-GB"/>
        </w:rPr>
      </w:pPr>
    </w:p>
    <w:p w:rsidR="001E3837" w:rsidRPr="000A6B0A" w:rsidRDefault="001E3837" w:rsidP="00EB2163">
      <w:pPr>
        <w:jc w:val="center"/>
        <w:rPr>
          <w:rFonts w:asciiTheme="minorHAnsi" w:hAnsiTheme="minorHAnsi" w:cs="Calibri"/>
          <w:sz w:val="20"/>
          <w:szCs w:val="20"/>
          <w:lang w:val="en-GB"/>
        </w:rPr>
      </w:pPr>
    </w:p>
    <w:p w:rsidR="001E3837" w:rsidRPr="000A6B0A" w:rsidRDefault="001E3837" w:rsidP="00EB2163">
      <w:pPr>
        <w:jc w:val="center"/>
        <w:rPr>
          <w:rFonts w:asciiTheme="minorHAnsi" w:hAnsiTheme="minorHAnsi" w:cs="Calibri"/>
          <w:sz w:val="20"/>
          <w:szCs w:val="20"/>
          <w:lang w:val="en-GB"/>
        </w:rPr>
      </w:pPr>
    </w:p>
    <w:p w:rsidR="001E3837" w:rsidRPr="000A6B0A" w:rsidRDefault="001E3837" w:rsidP="00EB2163">
      <w:pPr>
        <w:jc w:val="center"/>
        <w:rPr>
          <w:rFonts w:asciiTheme="minorHAnsi" w:hAnsiTheme="minorHAnsi" w:cs="Calibri"/>
          <w:sz w:val="20"/>
          <w:szCs w:val="20"/>
          <w:lang w:val="en-GB"/>
        </w:rPr>
      </w:pPr>
    </w:p>
    <w:p w:rsidR="001E3837" w:rsidRPr="000A6B0A" w:rsidRDefault="00A5140C" w:rsidP="00A5140C">
      <w:pPr>
        <w:tabs>
          <w:tab w:val="left" w:pos="2292"/>
        </w:tabs>
        <w:rPr>
          <w:rFonts w:asciiTheme="minorHAnsi" w:hAnsiTheme="minorHAnsi" w:cs="Calibri"/>
          <w:b/>
          <w:sz w:val="36"/>
          <w:szCs w:val="20"/>
          <w:lang w:val="en-GB"/>
        </w:rPr>
      </w:pPr>
      <w:r>
        <w:rPr>
          <w:rFonts w:asciiTheme="minorHAnsi" w:hAnsiTheme="minorHAnsi" w:cs="Calibri"/>
          <w:b/>
          <w:sz w:val="36"/>
          <w:szCs w:val="20"/>
          <w:lang w:val="en-GB"/>
        </w:rPr>
        <w:tab/>
      </w:r>
    </w:p>
    <w:p w:rsidR="001E3837" w:rsidRPr="000A6B0A" w:rsidRDefault="001E3837" w:rsidP="00EB2163">
      <w:pPr>
        <w:jc w:val="center"/>
        <w:rPr>
          <w:rFonts w:asciiTheme="minorHAnsi" w:hAnsiTheme="minorHAnsi" w:cs="Calibri"/>
          <w:b/>
          <w:sz w:val="36"/>
          <w:szCs w:val="20"/>
          <w:lang w:val="en-GB"/>
        </w:rPr>
      </w:pPr>
    </w:p>
    <w:p w:rsidR="001E3837" w:rsidRPr="000A6B0A" w:rsidRDefault="001E3837" w:rsidP="00EB2163">
      <w:pPr>
        <w:jc w:val="center"/>
        <w:rPr>
          <w:rFonts w:asciiTheme="minorHAnsi" w:hAnsiTheme="minorHAnsi" w:cs="Calibri"/>
          <w:b/>
          <w:sz w:val="36"/>
          <w:szCs w:val="20"/>
          <w:lang w:val="en-GB"/>
        </w:rPr>
      </w:pPr>
    </w:p>
    <w:p w:rsidR="001E3837" w:rsidRPr="000A6B0A" w:rsidRDefault="001E3837" w:rsidP="00EB2163">
      <w:pPr>
        <w:jc w:val="center"/>
        <w:rPr>
          <w:rFonts w:asciiTheme="minorHAnsi" w:hAnsiTheme="minorHAnsi" w:cs="Calibri"/>
          <w:b/>
          <w:sz w:val="36"/>
          <w:szCs w:val="20"/>
          <w:lang w:val="en-GB"/>
        </w:rPr>
      </w:pPr>
    </w:p>
    <w:bookmarkEnd w:id="0"/>
    <w:p w:rsidR="001E3837" w:rsidRPr="000A6B0A" w:rsidRDefault="00F54C74" w:rsidP="00CF14FF">
      <w:pPr>
        <w:jc w:val="center"/>
        <w:rPr>
          <w:rFonts w:asciiTheme="minorHAnsi" w:hAnsiTheme="minorHAnsi" w:cs="Calibri"/>
          <w:b/>
          <w:sz w:val="36"/>
          <w:szCs w:val="20"/>
          <w:lang w:val="en-GB"/>
        </w:rPr>
      </w:pPr>
      <w:r w:rsidRPr="000A6B0A">
        <w:rPr>
          <w:rFonts w:asciiTheme="minorHAnsi" w:hAnsiTheme="minorHAnsi" w:cs="Calibri"/>
          <w:b/>
          <w:sz w:val="36"/>
          <w:szCs w:val="20"/>
          <w:lang w:val="en-GB"/>
        </w:rPr>
        <w:t xml:space="preserve">UPDATED </w:t>
      </w:r>
      <w:r w:rsidR="001E3837" w:rsidRPr="000A6B0A">
        <w:rPr>
          <w:rFonts w:asciiTheme="minorHAnsi" w:hAnsiTheme="minorHAnsi" w:cs="Calibri"/>
          <w:b/>
          <w:sz w:val="36"/>
          <w:szCs w:val="20"/>
          <w:lang w:val="en-GB"/>
        </w:rPr>
        <w:t xml:space="preserve">REVIEW OF CHARGING PRACTICES </w:t>
      </w:r>
      <w:r w:rsidR="00E6071B" w:rsidRPr="000A6B0A">
        <w:rPr>
          <w:rFonts w:asciiTheme="minorHAnsi" w:hAnsiTheme="minorHAnsi" w:cs="Calibri"/>
          <w:b/>
          <w:sz w:val="36"/>
          <w:szCs w:val="20"/>
          <w:lang w:val="en-GB"/>
        </w:rPr>
        <w:br/>
      </w:r>
      <w:r w:rsidR="00F91635" w:rsidRPr="000A6B0A">
        <w:rPr>
          <w:rFonts w:asciiTheme="minorHAnsi" w:hAnsiTheme="minorHAnsi" w:cs="Calibri"/>
          <w:b/>
          <w:sz w:val="36"/>
          <w:szCs w:val="20"/>
          <w:lang w:val="en-GB"/>
        </w:rPr>
        <w:t xml:space="preserve">FOR THE MINIMUM ACCESS PACKAGE </w:t>
      </w:r>
      <w:r w:rsidR="001E3837" w:rsidRPr="000A6B0A">
        <w:rPr>
          <w:rFonts w:asciiTheme="minorHAnsi" w:hAnsiTheme="minorHAnsi" w:cs="Calibri"/>
          <w:b/>
          <w:sz w:val="36"/>
          <w:szCs w:val="20"/>
          <w:lang w:val="en-GB"/>
        </w:rPr>
        <w:t>IN EUROPE</w:t>
      </w:r>
    </w:p>
    <w:p w:rsidR="001E3837" w:rsidRPr="000A6B0A" w:rsidRDefault="001E3837" w:rsidP="001C1F91">
      <w:pPr>
        <w:jc w:val="center"/>
        <w:rPr>
          <w:rFonts w:asciiTheme="minorHAnsi" w:hAnsiTheme="minorHAnsi" w:cs="Calibri"/>
          <w:b/>
          <w:sz w:val="36"/>
          <w:szCs w:val="20"/>
          <w:lang w:val="en-GB"/>
        </w:rPr>
      </w:pPr>
    </w:p>
    <w:p w:rsidR="001E3837" w:rsidRPr="000A6B0A" w:rsidRDefault="001E3837" w:rsidP="001C1F91">
      <w:pPr>
        <w:jc w:val="center"/>
        <w:rPr>
          <w:rFonts w:asciiTheme="minorHAnsi" w:hAnsiTheme="minorHAnsi" w:cs="Calibri"/>
          <w:b/>
          <w:sz w:val="36"/>
          <w:szCs w:val="20"/>
          <w:lang w:val="en-GB"/>
        </w:rPr>
      </w:pPr>
    </w:p>
    <w:p w:rsidR="0011196E" w:rsidRPr="000A6B0A" w:rsidRDefault="00A451B5" w:rsidP="00780026">
      <w:pPr>
        <w:jc w:val="center"/>
        <w:rPr>
          <w:rFonts w:asciiTheme="minorHAnsi" w:hAnsiTheme="minorHAnsi"/>
          <w:sz w:val="36"/>
          <w:szCs w:val="36"/>
          <w:lang w:val="en-GB"/>
        </w:rPr>
      </w:pPr>
      <w:r w:rsidRPr="000A6B0A">
        <w:rPr>
          <w:rFonts w:asciiTheme="minorHAnsi" w:hAnsiTheme="minorHAnsi"/>
          <w:sz w:val="36"/>
          <w:szCs w:val="36"/>
          <w:lang w:val="en-GB"/>
        </w:rPr>
        <w:t xml:space="preserve">Version </w:t>
      </w:r>
      <w:r w:rsidR="0071078D">
        <w:rPr>
          <w:rFonts w:asciiTheme="minorHAnsi" w:hAnsiTheme="minorHAnsi"/>
          <w:sz w:val="36"/>
          <w:szCs w:val="36"/>
          <w:lang w:val="en-GB"/>
        </w:rPr>
        <w:t>4</w:t>
      </w:r>
      <w:r w:rsidRPr="000A6B0A">
        <w:rPr>
          <w:rFonts w:asciiTheme="minorHAnsi" w:hAnsiTheme="minorHAnsi"/>
          <w:sz w:val="36"/>
          <w:szCs w:val="36"/>
          <w:lang w:val="en-GB"/>
        </w:rPr>
        <w:t xml:space="preserve">: </w:t>
      </w:r>
      <w:r w:rsidR="0071078D">
        <w:rPr>
          <w:rFonts w:asciiTheme="minorHAnsi" w:hAnsiTheme="minorHAnsi"/>
          <w:sz w:val="36"/>
          <w:szCs w:val="36"/>
          <w:lang w:val="en-GB"/>
        </w:rPr>
        <w:t>24</w:t>
      </w:r>
      <w:r w:rsidR="00DE1F59" w:rsidRPr="000A6B0A">
        <w:rPr>
          <w:rFonts w:asciiTheme="minorHAnsi" w:hAnsiTheme="minorHAnsi"/>
          <w:sz w:val="36"/>
          <w:szCs w:val="36"/>
          <w:lang w:val="en-GB"/>
        </w:rPr>
        <w:t xml:space="preserve"> </w:t>
      </w:r>
      <w:r w:rsidR="0071078D">
        <w:rPr>
          <w:rFonts w:asciiTheme="minorHAnsi" w:hAnsiTheme="minorHAnsi"/>
          <w:sz w:val="36"/>
          <w:szCs w:val="36"/>
          <w:lang w:val="en-GB"/>
        </w:rPr>
        <w:t>November 2017</w:t>
      </w:r>
    </w:p>
    <w:p w:rsidR="001E3837" w:rsidRPr="000A6B0A" w:rsidRDefault="00780026" w:rsidP="00780026">
      <w:pPr>
        <w:jc w:val="center"/>
        <w:rPr>
          <w:rFonts w:asciiTheme="minorHAnsi" w:hAnsiTheme="minorHAnsi" w:cs="Calibri"/>
          <w:sz w:val="24"/>
          <w:szCs w:val="20"/>
          <w:lang w:val="en-GB"/>
        </w:rPr>
      </w:pPr>
      <w:r w:rsidRPr="000A6B0A">
        <w:rPr>
          <w:rFonts w:asciiTheme="minorHAnsi" w:hAnsiTheme="minorHAnsi" w:cs="Calibri"/>
          <w:sz w:val="24"/>
          <w:szCs w:val="20"/>
          <w:lang w:val="en-GB"/>
        </w:rPr>
        <w:t>(First version: October 2012)</w:t>
      </w: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p w:rsidR="001E3837" w:rsidRPr="000A6B0A" w:rsidRDefault="001E3837" w:rsidP="004965BB">
      <w:pPr>
        <w:rPr>
          <w:rFonts w:asciiTheme="minorHAnsi" w:hAnsiTheme="minorHAnsi" w:cs="Calibri"/>
          <w:sz w:val="20"/>
          <w:szCs w:val="20"/>
          <w:lang w:val="en-GB"/>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6"/>
      </w:tblGrid>
      <w:tr w:rsidR="001E3837" w:rsidRPr="00C54CEB" w:rsidTr="008D6CE9">
        <w:trPr>
          <w:jc w:val="center"/>
        </w:trPr>
        <w:tc>
          <w:tcPr>
            <w:tcW w:w="7796" w:type="dxa"/>
            <w:shd w:val="pct15" w:color="auto" w:fill="auto"/>
          </w:tcPr>
          <w:p w:rsidR="001E3837" w:rsidRPr="000A6B0A" w:rsidRDefault="001E3837" w:rsidP="008D6CE9">
            <w:pPr>
              <w:jc w:val="center"/>
              <w:rPr>
                <w:rFonts w:asciiTheme="minorHAnsi" w:hAnsiTheme="minorHAnsi" w:cs="Calibri"/>
                <w:b/>
                <w:sz w:val="22"/>
                <w:szCs w:val="22"/>
                <w:lang w:val="en-GB"/>
              </w:rPr>
            </w:pPr>
            <w:r w:rsidRPr="000A6B0A">
              <w:rPr>
                <w:rFonts w:asciiTheme="minorHAnsi" w:hAnsiTheme="minorHAnsi" w:cs="Calibri"/>
                <w:b/>
                <w:sz w:val="22"/>
                <w:szCs w:val="22"/>
                <w:u w:val="single"/>
                <w:lang w:val="en-GB"/>
              </w:rPr>
              <w:t>Introductory remark</w:t>
            </w:r>
            <w:r w:rsidR="004B0CE1" w:rsidRPr="000A6B0A">
              <w:rPr>
                <w:rFonts w:asciiTheme="minorHAnsi" w:hAnsiTheme="minorHAnsi" w:cs="Calibri"/>
                <w:b/>
                <w:sz w:val="22"/>
                <w:szCs w:val="22"/>
                <w:u w:val="single"/>
                <w:lang w:val="en-GB"/>
              </w:rPr>
              <w:t>s</w:t>
            </w:r>
          </w:p>
          <w:p w:rsidR="001E3837" w:rsidRPr="000A6B0A" w:rsidRDefault="001E3837" w:rsidP="008D6CE9">
            <w:pPr>
              <w:jc w:val="both"/>
              <w:rPr>
                <w:rFonts w:asciiTheme="minorHAnsi" w:hAnsiTheme="minorHAnsi" w:cs="Calibri"/>
                <w:sz w:val="24"/>
                <w:szCs w:val="24"/>
                <w:lang w:val="en-GB"/>
              </w:rPr>
            </w:pPr>
          </w:p>
          <w:p w:rsidR="001E3837" w:rsidRPr="000A6B0A" w:rsidRDefault="001E3837" w:rsidP="00F54C74">
            <w:pPr>
              <w:jc w:val="both"/>
              <w:rPr>
                <w:rFonts w:asciiTheme="minorHAnsi" w:hAnsiTheme="minorHAnsi" w:cs="Calibri"/>
                <w:b/>
                <w:i/>
                <w:sz w:val="20"/>
                <w:szCs w:val="20"/>
                <w:lang w:val="en-GB"/>
              </w:rPr>
            </w:pPr>
            <w:r w:rsidRPr="000A6B0A">
              <w:rPr>
                <w:rFonts w:asciiTheme="minorHAnsi" w:hAnsiTheme="minorHAnsi" w:cs="Calibri"/>
                <w:i/>
                <w:sz w:val="20"/>
                <w:szCs w:val="20"/>
                <w:lang w:val="en-GB"/>
              </w:rPr>
              <w:t xml:space="preserve">This </w:t>
            </w:r>
            <w:r w:rsidR="00F54C74" w:rsidRPr="000A6B0A">
              <w:rPr>
                <w:rFonts w:asciiTheme="minorHAnsi" w:hAnsiTheme="minorHAnsi" w:cs="Calibri"/>
                <w:i/>
                <w:sz w:val="20"/>
                <w:szCs w:val="20"/>
                <w:lang w:val="en-GB"/>
              </w:rPr>
              <w:t xml:space="preserve">updated </w:t>
            </w:r>
            <w:r w:rsidRPr="000A6B0A">
              <w:rPr>
                <w:rFonts w:asciiTheme="minorHAnsi" w:hAnsiTheme="minorHAnsi" w:cs="Calibri"/>
                <w:i/>
                <w:sz w:val="20"/>
                <w:szCs w:val="20"/>
                <w:lang w:val="en-GB"/>
              </w:rPr>
              <w:t xml:space="preserve">review </w:t>
            </w:r>
            <w:r w:rsidR="00603222" w:rsidRPr="000A6B0A">
              <w:rPr>
                <w:rFonts w:asciiTheme="minorHAnsi" w:hAnsiTheme="minorHAnsi" w:cs="Calibri"/>
                <w:i/>
                <w:sz w:val="20"/>
                <w:szCs w:val="20"/>
                <w:lang w:val="en-GB"/>
              </w:rPr>
              <w:t xml:space="preserve">on charging practices for the minimum access package </w:t>
            </w:r>
            <w:r w:rsidRPr="000A6B0A">
              <w:rPr>
                <w:rFonts w:asciiTheme="minorHAnsi" w:hAnsiTheme="minorHAnsi" w:cs="Calibri"/>
                <w:i/>
                <w:sz w:val="20"/>
                <w:szCs w:val="20"/>
                <w:lang w:val="en-GB"/>
              </w:rPr>
              <w:t xml:space="preserve">covers the following countries, members of IRG-Rail: </w:t>
            </w:r>
            <w:r w:rsidRPr="004E4290">
              <w:rPr>
                <w:rFonts w:asciiTheme="minorHAnsi" w:hAnsiTheme="minorHAnsi" w:cs="Calibri"/>
                <w:b/>
                <w:i/>
                <w:sz w:val="20"/>
                <w:szCs w:val="20"/>
                <w:lang w:val="en-GB"/>
              </w:rPr>
              <w:t xml:space="preserve">Austria, </w:t>
            </w:r>
            <w:r w:rsidR="00BB5990">
              <w:rPr>
                <w:rFonts w:asciiTheme="minorHAnsi" w:hAnsiTheme="minorHAnsi" w:cs="Calibri"/>
                <w:b/>
                <w:i/>
                <w:sz w:val="20"/>
                <w:szCs w:val="20"/>
                <w:lang w:val="en-GB"/>
              </w:rPr>
              <w:t xml:space="preserve">Belgium, </w:t>
            </w:r>
            <w:r w:rsidR="00165ECA">
              <w:rPr>
                <w:rFonts w:asciiTheme="minorHAnsi" w:hAnsiTheme="minorHAnsi" w:cs="Calibri"/>
                <w:b/>
                <w:i/>
                <w:sz w:val="20"/>
                <w:szCs w:val="20"/>
                <w:lang w:val="en-GB"/>
              </w:rPr>
              <w:t xml:space="preserve">Bulgaria, </w:t>
            </w:r>
            <w:r w:rsidR="00F76292" w:rsidRPr="004E4290">
              <w:rPr>
                <w:rFonts w:asciiTheme="minorHAnsi" w:hAnsiTheme="minorHAnsi" w:cs="Calibri"/>
                <w:b/>
                <w:i/>
                <w:sz w:val="20"/>
                <w:szCs w:val="20"/>
                <w:lang w:val="en-GB"/>
              </w:rPr>
              <w:t xml:space="preserve">Croatia, </w:t>
            </w:r>
            <w:r w:rsidR="00E7312A" w:rsidRPr="004E4290">
              <w:rPr>
                <w:rFonts w:asciiTheme="minorHAnsi" w:hAnsiTheme="minorHAnsi" w:cs="Calibri"/>
                <w:b/>
                <w:i/>
                <w:sz w:val="20"/>
                <w:szCs w:val="20"/>
                <w:lang w:val="en-GB"/>
              </w:rPr>
              <w:t xml:space="preserve">Denmark, </w:t>
            </w:r>
            <w:r w:rsidR="00165ECA">
              <w:rPr>
                <w:rFonts w:asciiTheme="minorHAnsi" w:hAnsiTheme="minorHAnsi" w:cs="Calibri"/>
                <w:b/>
                <w:i/>
                <w:sz w:val="20"/>
                <w:szCs w:val="20"/>
                <w:lang w:val="en-GB"/>
              </w:rPr>
              <w:t xml:space="preserve">Estonia, </w:t>
            </w:r>
            <w:r w:rsidR="00E6071B" w:rsidRPr="004E4290">
              <w:rPr>
                <w:rFonts w:asciiTheme="minorHAnsi" w:hAnsiTheme="minorHAnsi" w:cs="Calibri"/>
                <w:b/>
                <w:i/>
                <w:sz w:val="20"/>
                <w:szCs w:val="20"/>
                <w:lang w:val="en-GB"/>
              </w:rPr>
              <w:t xml:space="preserve">Finland, </w:t>
            </w:r>
            <w:r w:rsidRPr="004E4290">
              <w:rPr>
                <w:rFonts w:asciiTheme="minorHAnsi" w:hAnsiTheme="minorHAnsi" w:cs="Calibri"/>
                <w:b/>
                <w:i/>
                <w:sz w:val="20"/>
                <w:szCs w:val="20"/>
                <w:lang w:val="en-GB"/>
              </w:rPr>
              <w:t xml:space="preserve">France, Germany, Greece, Hungary, </w:t>
            </w:r>
            <w:r w:rsidR="009559B9" w:rsidRPr="004E4290">
              <w:rPr>
                <w:rFonts w:asciiTheme="minorHAnsi" w:hAnsiTheme="minorHAnsi" w:cs="Calibri"/>
                <w:b/>
                <w:i/>
                <w:sz w:val="20"/>
                <w:szCs w:val="20"/>
                <w:lang w:val="en-GB"/>
              </w:rPr>
              <w:t xml:space="preserve">Italy, </w:t>
            </w:r>
            <w:r w:rsidRPr="004E4290">
              <w:rPr>
                <w:rFonts w:asciiTheme="minorHAnsi" w:hAnsiTheme="minorHAnsi" w:cs="Calibri"/>
                <w:b/>
                <w:i/>
                <w:sz w:val="20"/>
                <w:szCs w:val="20"/>
                <w:lang w:val="en-GB"/>
              </w:rPr>
              <w:t xml:space="preserve">Latvia, Luxemburg, Netherlands, </w:t>
            </w:r>
            <w:r w:rsidR="009064E5" w:rsidRPr="004E4290">
              <w:rPr>
                <w:rFonts w:asciiTheme="minorHAnsi" w:hAnsiTheme="minorHAnsi" w:cs="Calibri"/>
                <w:b/>
                <w:i/>
                <w:sz w:val="20"/>
                <w:szCs w:val="20"/>
                <w:lang w:val="en-GB"/>
              </w:rPr>
              <w:t xml:space="preserve">Norway, </w:t>
            </w:r>
            <w:r w:rsidR="00E6071B" w:rsidRPr="004E4290">
              <w:rPr>
                <w:rFonts w:asciiTheme="minorHAnsi" w:hAnsiTheme="minorHAnsi" w:cs="Calibri"/>
                <w:b/>
                <w:i/>
                <w:sz w:val="20"/>
                <w:szCs w:val="20"/>
                <w:lang w:val="en-GB"/>
              </w:rPr>
              <w:t>Poland,</w:t>
            </w:r>
            <w:r w:rsidR="00831A3F" w:rsidRPr="004E4290">
              <w:rPr>
                <w:rFonts w:asciiTheme="minorHAnsi" w:hAnsiTheme="minorHAnsi" w:cs="Calibri"/>
                <w:b/>
                <w:i/>
                <w:sz w:val="20"/>
                <w:szCs w:val="20"/>
                <w:lang w:val="en-GB"/>
              </w:rPr>
              <w:t xml:space="preserve"> </w:t>
            </w:r>
            <w:r w:rsidR="00165ECA">
              <w:rPr>
                <w:rFonts w:asciiTheme="minorHAnsi" w:hAnsiTheme="minorHAnsi" w:cs="Calibri"/>
                <w:b/>
                <w:i/>
                <w:sz w:val="20"/>
                <w:szCs w:val="20"/>
                <w:lang w:val="en-GB"/>
              </w:rPr>
              <w:t xml:space="preserve">Portugal, </w:t>
            </w:r>
            <w:r w:rsidR="00D913C1" w:rsidRPr="004E4290">
              <w:rPr>
                <w:rFonts w:asciiTheme="minorHAnsi" w:hAnsiTheme="minorHAnsi" w:cs="Calibri"/>
                <w:b/>
                <w:i/>
                <w:sz w:val="20"/>
                <w:szCs w:val="20"/>
                <w:lang w:val="en-GB"/>
              </w:rPr>
              <w:t xml:space="preserve">Romania, </w:t>
            </w:r>
            <w:r w:rsidR="00831A3F" w:rsidRPr="004E4290">
              <w:rPr>
                <w:rFonts w:asciiTheme="minorHAnsi" w:hAnsiTheme="minorHAnsi" w:cs="Calibri"/>
                <w:b/>
                <w:i/>
                <w:sz w:val="20"/>
                <w:szCs w:val="20"/>
                <w:lang w:val="en-GB"/>
              </w:rPr>
              <w:t>Slovakia,</w:t>
            </w:r>
            <w:r w:rsidR="00E6071B" w:rsidRPr="004E4290">
              <w:rPr>
                <w:rFonts w:asciiTheme="minorHAnsi" w:hAnsiTheme="minorHAnsi" w:cs="Calibri"/>
                <w:b/>
                <w:i/>
                <w:sz w:val="20"/>
                <w:szCs w:val="20"/>
                <w:lang w:val="en-GB"/>
              </w:rPr>
              <w:t xml:space="preserve"> </w:t>
            </w:r>
            <w:r w:rsidR="009559B9" w:rsidRPr="004E4290">
              <w:rPr>
                <w:rFonts w:asciiTheme="minorHAnsi" w:hAnsiTheme="minorHAnsi" w:cs="Calibri"/>
                <w:b/>
                <w:i/>
                <w:sz w:val="20"/>
                <w:szCs w:val="20"/>
                <w:lang w:val="en-GB"/>
              </w:rPr>
              <w:t xml:space="preserve">Slovenia, Spain, </w:t>
            </w:r>
            <w:r w:rsidRPr="004E4290">
              <w:rPr>
                <w:rFonts w:asciiTheme="minorHAnsi" w:hAnsiTheme="minorHAnsi" w:cs="Calibri"/>
                <w:b/>
                <w:i/>
                <w:sz w:val="20"/>
                <w:szCs w:val="20"/>
                <w:lang w:val="en-GB"/>
              </w:rPr>
              <w:t>Sweden</w:t>
            </w:r>
            <w:r w:rsidR="00831A3F" w:rsidRPr="004E4290">
              <w:rPr>
                <w:rFonts w:asciiTheme="minorHAnsi" w:hAnsiTheme="minorHAnsi" w:cs="Calibri"/>
                <w:b/>
                <w:i/>
                <w:sz w:val="20"/>
                <w:szCs w:val="20"/>
                <w:lang w:val="en-GB"/>
              </w:rPr>
              <w:t>, Switzerland</w:t>
            </w:r>
            <w:r w:rsidR="009559B9" w:rsidRPr="004E4290">
              <w:rPr>
                <w:rFonts w:asciiTheme="minorHAnsi" w:hAnsiTheme="minorHAnsi" w:cs="Calibri"/>
                <w:b/>
                <w:i/>
                <w:sz w:val="20"/>
                <w:szCs w:val="20"/>
                <w:lang w:val="en-GB"/>
              </w:rPr>
              <w:t xml:space="preserve"> and United Kingdom</w:t>
            </w:r>
            <w:r w:rsidRPr="004E4290">
              <w:rPr>
                <w:rFonts w:asciiTheme="minorHAnsi" w:hAnsiTheme="minorHAnsi" w:cs="Calibri"/>
                <w:b/>
                <w:i/>
                <w:sz w:val="20"/>
                <w:szCs w:val="20"/>
                <w:lang w:val="en-GB"/>
              </w:rPr>
              <w:t>.</w:t>
            </w:r>
          </w:p>
          <w:p w:rsidR="001E3837" w:rsidRPr="000A6B0A" w:rsidRDefault="001E3837" w:rsidP="008D6CE9">
            <w:pPr>
              <w:jc w:val="both"/>
              <w:rPr>
                <w:rFonts w:asciiTheme="minorHAnsi" w:hAnsiTheme="minorHAnsi" w:cs="Calibri"/>
                <w:i/>
                <w:sz w:val="20"/>
                <w:szCs w:val="20"/>
                <w:lang w:val="en-GB"/>
              </w:rPr>
            </w:pPr>
          </w:p>
          <w:p w:rsidR="001E3837" w:rsidRPr="00165ECA" w:rsidRDefault="001E3837" w:rsidP="00165ECA">
            <w:pPr>
              <w:jc w:val="both"/>
              <w:rPr>
                <w:rFonts w:asciiTheme="minorHAnsi" w:hAnsiTheme="minorHAnsi" w:cs="Calibri"/>
                <w:i/>
                <w:sz w:val="20"/>
                <w:szCs w:val="20"/>
                <w:lang w:val="en-GB"/>
              </w:rPr>
            </w:pPr>
            <w:r w:rsidRPr="000A6B0A">
              <w:rPr>
                <w:rFonts w:asciiTheme="minorHAnsi" w:hAnsiTheme="minorHAnsi" w:cs="Calibri"/>
                <w:i/>
                <w:sz w:val="20"/>
                <w:szCs w:val="20"/>
                <w:lang w:val="en-GB"/>
              </w:rPr>
              <w:t xml:space="preserve">The IRG-Rail charging working group intends to review this document when appropriate as further information becomes available from other members or other regulatory bodies. In addition the working group would like to underline that this document is an </w:t>
            </w:r>
            <w:r w:rsidRPr="000A6B0A">
              <w:rPr>
                <w:rFonts w:asciiTheme="minorHAnsi" w:hAnsiTheme="minorHAnsi" w:cs="Calibri"/>
                <w:b/>
                <w:i/>
                <w:sz w:val="20"/>
                <w:szCs w:val="20"/>
                <w:lang w:val="en-GB"/>
              </w:rPr>
              <w:t>interpretation of the common charging principles as they stand rather than stating what the charging principles ‘should’ consist of</w:t>
            </w:r>
            <w:r w:rsidRPr="000A6B0A">
              <w:rPr>
                <w:rFonts w:asciiTheme="minorHAnsi" w:hAnsiTheme="minorHAnsi" w:cs="Calibri"/>
                <w:i/>
                <w:sz w:val="20"/>
                <w:szCs w:val="20"/>
                <w:lang w:val="en-GB"/>
              </w:rPr>
              <w:t>. In other words, the document only provides a description on the charging system</w:t>
            </w:r>
            <w:r w:rsidR="001015C3" w:rsidRPr="000A6B0A">
              <w:rPr>
                <w:rFonts w:asciiTheme="minorHAnsi" w:hAnsiTheme="minorHAnsi" w:cs="Calibri"/>
                <w:i/>
                <w:sz w:val="20"/>
                <w:szCs w:val="20"/>
                <w:lang w:val="en-GB"/>
              </w:rPr>
              <w:t>s</w:t>
            </w:r>
            <w:r w:rsidRPr="000A6B0A">
              <w:rPr>
                <w:rFonts w:asciiTheme="minorHAnsi" w:hAnsiTheme="minorHAnsi" w:cs="Calibri"/>
                <w:i/>
                <w:sz w:val="20"/>
                <w:szCs w:val="20"/>
                <w:lang w:val="en-GB"/>
              </w:rPr>
              <w:t xml:space="preserve"> designed by national infrastructure managers. </w:t>
            </w:r>
          </w:p>
        </w:tc>
      </w:tr>
    </w:tbl>
    <w:p w:rsidR="001E3837" w:rsidRPr="000A6B0A" w:rsidRDefault="001E3837" w:rsidP="004965BB">
      <w:pPr>
        <w:rPr>
          <w:rFonts w:asciiTheme="minorHAnsi" w:hAnsiTheme="minorHAnsi" w:cs="Calibri"/>
          <w:sz w:val="20"/>
          <w:szCs w:val="20"/>
          <w:lang w:val="en-GB"/>
        </w:rPr>
      </w:pPr>
    </w:p>
    <w:p w:rsidR="00F91635" w:rsidRPr="00C15D0C" w:rsidRDefault="001E3837" w:rsidP="00C15D0C">
      <w:pPr>
        <w:jc w:val="both"/>
        <w:rPr>
          <w:rFonts w:asciiTheme="minorHAnsi" w:hAnsiTheme="minorHAnsi" w:cs="Calibri"/>
          <w:sz w:val="24"/>
          <w:szCs w:val="24"/>
          <w:lang w:val="en-GB"/>
        </w:rPr>
      </w:pPr>
      <w:r w:rsidRPr="000A6B0A">
        <w:rPr>
          <w:rFonts w:asciiTheme="minorHAnsi" w:hAnsiTheme="minorHAnsi" w:cs="Calibri"/>
          <w:sz w:val="24"/>
          <w:szCs w:val="24"/>
          <w:lang w:val="en-GB"/>
        </w:rPr>
        <w:br w:type="page"/>
      </w:r>
    </w:p>
    <w:p w:rsidR="001E3837" w:rsidRPr="000A6B0A" w:rsidRDefault="001E3837" w:rsidP="00613A68">
      <w:pPr>
        <w:rPr>
          <w:rFonts w:asciiTheme="minorHAnsi" w:hAnsiTheme="minorHAnsi" w:cs="Calibri"/>
          <w:b/>
          <w:i/>
          <w:sz w:val="22"/>
          <w:szCs w:val="22"/>
          <w:lang w:val="en-GB"/>
        </w:rPr>
      </w:pPr>
      <w:r w:rsidRPr="000A6B0A">
        <w:rPr>
          <w:rFonts w:asciiTheme="minorHAnsi" w:hAnsiTheme="minorHAnsi" w:cs="Calibri"/>
          <w:b/>
          <w:sz w:val="32"/>
          <w:szCs w:val="24"/>
          <w:lang w:val="en-GB"/>
        </w:rPr>
        <w:lastRenderedPageBreak/>
        <w:t>Table of content</w:t>
      </w:r>
      <w:r w:rsidR="00BE5533" w:rsidRPr="000A6B0A">
        <w:rPr>
          <w:rFonts w:asciiTheme="minorHAnsi" w:hAnsiTheme="minorHAnsi" w:cs="Calibri"/>
          <w:b/>
          <w:sz w:val="32"/>
          <w:szCs w:val="24"/>
          <w:lang w:val="en-GB"/>
        </w:rPr>
        <w:t>s</w:t>
      </w:r>
      <w:r w:rsidR="004B0CE1" w:rsidRPr="000A6B0A">
        <w:rPr>
          <w:rFonts w:asciiTheme="minorHAnsi" w:hAnsiTheme="minorHAnsi" w:cs="Calibri"/>
          <w:b/>
          <w:sz w:val="32"/>
          <w:szCs w:val="24"/>
          <w:lang w:val="en-GB"/>
        </w:rPr>
        <w:t xml:space="preserve"> </w:t>
      </w:r>
    </w:p>
    <w:p w:rsidR="00F76292" w:rsidRPr="000A6B0A" w:rsidRDefault="00F76292" w:rsidP="004965BB">
      <w:pPr>
        <w:rPr>
          <w:rFonts w:asciiTheme="minorHAnsi" w:hAnsiTheme="minorHAnsi" w:cs="Calibri"/>
          <w:i/>
          <w:sz w:val="20"/>
          <w:szCs w:val="22"/>
          <w:lang w:val="en-GB"/>
        </w:rPr>
      </w:pPr>
    </w:p>
    <w:p w:rsidR="00CD221E" w:rsidRPr="0086605D" w:rsidRDefault="001E3837">
      <w:pPr>
        <w:pStyle w:val="TM1"/>
        <w:tabs>
          <w:tab w:val="left" w:pos="570"/>
          <w:tab w:val="right" w:leader="dot" w:pos="8810"/>
        </w:tabs>
        <w:rPr>
          <w:rFonts w:asciiTheme="minorHAnsi" w:hAnsiTheme="minorHAnsi"/>
          <w:noProof/>
          <w:sz w:val="20"/>
          <w:szCs w:val="20"/>
          <w:lang w:val="en-GB"/>
        </w:rPr>
      </w:pPr>
      <w:r w:rsidRPr="0086605D">
        <w:rPr>
          <w:rFonts w:asciiTheme="minorHAnsi" w:hAnsiTheme="minorHAnsi"/>
          <w:noProof/>
          <w:sz w:val="20"/>
          <w:szCs w:val="20"/>
          <w:lang w:val="en-GB"/>
        </w:rPr>
        <w:fldChar w:fldCharType="begin"/>
      </w:r>
      <w:r w:rsidRPr="0086605D">
        <w:rPr>
          <w:rFonts w:asciiTheme="minorHAnsi" w:hAnsiTheme="minorHAnsi"/>
          <w:noProof/>
          <w:sz w:val="20"/>
          <w:szCs w:val="20"/>
          <w:lang w:val="en-GB"/>
        </w:rPr>
        <w:instrText xml:space="preserve"> TOC \o "1-3" \h \z \u </w:instrText>
      </w:r>
      <w:r w:rsidRPr="0086605D">
        <w:rPr>
          <w:rFonts w:asciiTheme="minorHAnsi" w:hAnsiTheme="minorHAnsi"/>
          <w:noProof/>
          <w:sz w:val="20"/>
          <w:szCs w:val="20"/>
          <w:lang w:val="en-GB"/>
        </w:rPr>
        <w:fldChar w:fldCharType="separate"/>
      </w:r>
      <w:hyperlink w:anchor="_Toc496279014" w:history="1">
        <w:r w:rsidR="00CD221E" w:rsidRPr="0086605D">
          <w:rPr>
            <w:rFonts w:asciiTheme="minorHAnsi" w:hAnsiTheme="minorHAnsi"/>
            <w:sz w:val="20"/>
            <w:szCs w:val="20"/>
          </w:rPr>
          <w:t>1.</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General objectives of the document</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_Toc496279014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570"/>
          <w:tab w:val="right" w:leader="dot" w:pos="8810"/>
        </w:tabs>
        <w:rPr>
          <w:rFonts w:asciiTheme="minorHAnsi" w:hAnsiTheme="minorHAnsi"/>
          <w:noProof/>
          <w:sz w:val="20"/>
          <w:szCs w:val="20"/>
          <w:lang w:val="en-GB"/>
        </w:rPr>
      </w:pPr>
      <w:hyperlink w:anchor="_Toc496279015" w:history="1">
        <w:r w:rsidR="00CD221E" w:rsidRPr="0086605D">
          <w:rPr>
            <w:rFonts w:asciiTheme="minorHAnsi" w:hAnsiTheme="minorHAnsi"/>
            <w:sz w:val="20"/>
            <w:szCs w:val="20"/>
          </w:rPr>
          <w:t>2.</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Charging characteristics: review of charging principles in IRG-Rail Member States</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_Toc496279015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4</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570"/>
          <w:tab w:val="right" w:leader="dot" w:pos="8810"/>
        </w:tabs>
        <w:rPr>
          <w:rFonts w:asciiTheme="minorHAnsi" w:hAnsiTheme="minorHAnsi"/>
          <w:noProof/>
          <w:sz w:val="20"/>
          <w:szCs w:val="20"/>
          <w:lang w:val="en-GB"/>
        </w:rPr>
      </w:pPr>
      <w:hyperlink w:anchor="_Toc496279016" w:history="1">
        <w:r w:rsidR="00CD221E" w:rsidRPr="0086605D">
          <w:rPr>
            <w:rFonts w:asciiTheme="minorHAnsi" w:hAnsiTheme="minorHAnsi"/>
            <w:sz w:val="20"/>
            <w:szCs w:val="20"/>
          </w:rPr>
          <w:t>3.</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Roles of regulatory bodies in charging issues</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_Toc496279016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16</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570"/>
          <w:tab w:val="right" w:leader="dot" w:pos="8810"/>
        </w:tabs>
        <w:rPr>
          <w:rFonts w:asciiTheme="minorHAnsi" w:hAnsiTheme="minorHAnsi"/>
          <w:noProof/>
          <w:sz w:val="20"/>
          <w:szCs w:val="20"/>
          <w:lang w:val="en-GB"/>
        </w:rPr>
      </w:pPr>
      <w:hyperlink w:anchor="_Toc496279017" w:history="1">
        <w:r w:rsidR="00CD221E" w:rsidRPr="0086605D">
          <w:rPr>
            <w:rFonts w:asciiTheme="minorHAnsi" w:hAnsiTheme="minorHAnsi"/>
            <w:sz w:val="20"/>
            <w:szCs w:val="20"/>
          </w:rPr>
          <w:t>4.</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Annex: Summary of charging systems by IRG-Rail members</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_Toc496279017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31</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18" w:history="1">
        <w:r w:rsidR="00CD221E" w:rsidRPr="0086605D">
          <w:rPr>
            <w:rFonts w:asciiTheme="minorHAnsi" w:hAnsiTheme="minorHAnsi"/>
            <w:sz w:val="20"/>
            <w:szCs w:val="20"/>
          </w:rPr>
          <w:t>4.1.</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Austria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_Toc496279018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31</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19" w:history="1">
        <w:r w:rsidR="00CD221E" w:rsidRPr="0086605D">
          <w:rPr>
            <w:rFonts w:asciiTheme="minorHAnsi" w:hAnsiTheme="minorHAnsi"/>
            <w:sz w:val="20"/>
            <w:szCs w:val="20"/>
          </w:rPr>
          <w:t>4.2.</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Belgium</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_Toc496279019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33</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0" w:history="1">
        <w:r w:rsidR="00CD221E" w:rsidRPr="0086605D">
          <w:rPr>
            <w:rFonts w:asciiTheme="minorHAnsi" w:hAnsiTheme="minorHAnsi"/>
            <w:sz w:val="20"/>
            <w:szCs w:val="20"/>
          </w:rPr>
          <w:t>4.3.</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Bulgaria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_Toc496279020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34</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1" w:history="1">
        <w:r w:rsidR="00CD221E" w:rsidRPr="0086605D">
          <w:rPr>
            <w:rFonts w:asciiTheme="minorHAnsi" w:hAnsiTheme="minorHAnsi"/>
            <w:sz w:val="20"/>
            <w:szCs w:val="20"/>
          </w:rPr>
          <w:t>4.4.</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Croatia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_Toc496279021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36</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2" w:history="1">
        <w:r w:rsidR="00CD221E" w:rsidRPr="0086605D">
          <w:rPr>
            <w:rFonts w:asciiTheme="minorHAnsi" w:hAnsiTheme="minorHAnsi"/>
            <w:sz w:val="20"/>
            <w:szCs w:val="20"/>
          </w:rPr>
          <w:t>4.5.</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Denmark</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_Toc496279022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37</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3" w:history="1">
        <w:r w:rsidR="00CD221E" w:rsidRPr="0086605D">
          <w:rPr>
            <w:rFonts w:asciiTheme="minorHAnsi" w:hAnsiTheme="minorHAnsi"/>
            <w:sz w:val="20"/>
            <w:szCs w:val="20"/>
          </w:rPr>
          <w:t>4.6.</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Estonia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_Toc496279023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38</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4" w:history="1">
        <w:r w:rsidR="00CD221E" w:rsidRPr="0086605D">
          <w:rPr>
            <w:rFonts w:asciiTheme="minorHAnsi" w:hAnsiTheme="minorHAnsi"/>
            <w:sz w:val="20"/>
            <w:szCs w:val="20"/>
          </w:rPr>
          <w:t>4.7.</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Finland</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_Toc496279024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39</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5" w:history="1">
        <w:r w:rsidR="00CD221E" w:rsidRPr="0086605D">
          <w:rPr>
            <w:rFonts w:asciiTheme="minorHAnsi" w:hAnsiTheme="minorHAnsi"/>
            <w:sz w:val="20"/>
            <w:szCs w:val="20"/>
          </w:rPr>
          <w:t>4.8.</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France</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_Toc496279025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40</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6" w:history="1">
        <w:r w:rsidR="00CD221E" w:rsidRPr="0086605D">
          <w:rPr>
            <w:rFonts w:asciiTheme="minorHAnsi" w:hAnsiTheme="minorHAnsi"/>
            <w:sz w:val="20"/>
            <w:szCs w:val="20"/>
          </w:rPr>
          <w:t>4.9.</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Germany</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_Toc496279026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42</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7" w:history="1">
        <w:r w:rsidR="00CD221E" w:rsidRPr="0086605D">
          <w:rPr>
            <w:rFonts w:asciiTheme="minorHAnsi" w:hAnsiTheme="minorHAnsi"/>
            <w:sz w:val="20"/>
            <w:szCs w:val="20"/>
          </w:rPr>
          <w:t>4.10.</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Greece</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_Toc496279027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47</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8" w:history="1">
        <w:r w:rsidR="00CD221E" w:rsidRPr="0086605D">
          <w:rPr>
            <w:rFonts w:asciiTheme="minorHAnsi" w:hAnsiTheme="minorHAnsi"/>
            <w:sz w:val="20"/>
            <w:szCs w:val="20"/>
          </w:rPr>
          <w:t>4.11.</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Hungary</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_Toc496279028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48</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29" w:history="1">
        <w:r w:rsidR="00CD221E" w:rsidRPr="0086605D">
          <w:rPr>
            <w:rFonts w:asciiTheme="minorHAnsi" w:hAnsiTheme="minorHAnsi"/>
            <w:sz w:val="20"/>
            <w:szCs w:val="20"/>
          </w:rPr>
          <w:t>4.12.</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Italy</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_Toc496279029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50</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0" w:history="1">
        <w:r w:rsidR="00CD221E" w:rsidRPr="0086605D">
          <w:rPr>
            <w:rFonts w:asciiTheme="minorHAnsi" w:hAnsiTheme="minorHAnsi"/>
            <w:sz w:val="20"/>
            <w:szCs w:val="20"/>
          </w:rPr>
          <w:t>4.13.</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Latvia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_Toc496279030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52</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1" w:history="1">
        <w:r w:rsidR="00CD221E" w:rsidRPr="0086605D">
          <w:rPr>
            <w:rFonts w:asciiTheme="minorHAnsi" w:hAnsiTheme="minorHAnsi"/>
            <w:sz w:val="20"/>
            <w:szCs w:val="20"/>
          </w:rPr>
          <w:t>4.14.</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Luxemburg</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_Toc496279031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53</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2" w:history="1">
        <w:r w:rsidR="00CD221E" w:rsidRPr="0086605D">
          <w:rPr>
            <w:rFonts w:asciiTheme="minorHAnsi" w:hAnsiTheme="minorHAnsi"/>
            <w:sz w:val="20"/>
            <w:szCs w:val="20"/>
          </w:rPr>
          <w:t>4.15.</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Netherlands</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_Toc496279032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54</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3" w:history="1">
        <w:r w:rsidR="00CD221E" w:rsidRPr="0086605D">
          <w:rPr>
            <w:rFonts w:asciiTheme="minorHAnsi" w:hAnsiTheme="minorHAnsi"/>
            <w:sz w:val="20"/>
            <w:szCs w:val="20"/>
          </w:rPr>
          <w:t>4.16.</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Norway</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_Toc496279033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55</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4" w:history="1">
        <w:r w:rsidR="00CD221E" w:rsidRPr="0086605D">
          <w:rPr>
            <w:rFonts w:asciiTheme="minorHAnsi" w:hAnsiTheme="minorHAnsi"/>
            <w:sz w:val="20"/>
            <w:szCs w:val="20"/>
          </w:rPr>
          <w:t>4.17.</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Poland</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_Toc496279034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56</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5" w:history="1">
        <w:r w:rsidR="00CD221E" w:rsidRPr="0086605D">
          <w:rPr>
            <w:rFonts w:asciiTheme="minorHAnsi" w:hAnsiTheme="minorHAnsi"/>
            <w:sz w:val="20"/>
            <w:szCs w:val="20"/>
          </w:rPr>
          <w:t>4.18.</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Portugal</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_Toc496279035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58</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6" w:history="1">
        <w:r w:rsidR="00CD221E" w:rsidRPr="0086605D">
          <w:rPr>
            <w:rFonts w:asciiTheme="minorHAnsi" w:hAnsiTheme="minorHAnsi"/>
            <w:sz w:val="20"/>
            <w:szCs w:val="20"/>
          </w:rPr>
          <w:t>4.19.</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Romania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_Toc496279036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60</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7" w:history="1">
        <w:r w:rsidR="00CD221E" w:rsidRPr="0086605D">
          <w:rPr>
            <w:rFonts w:asciiTheme="minorHAnsi" w:hAnsiTheme="minorHAnsi"/>
            <w:sz w:val="20"/>
            <w:szCs w:val="20"/>
          </w:rPr>
          <w:t>4.20.</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Slovakia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_Toc496279037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63</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8" w:history="1">
        <w:r w:rsidR="00CD221E" w:rsidRPr="0086605D">
          <w:rPr>
            <w:rFonts w:asciiTheme="minorHAnsi" w:hAnsiTheme="minorHAnsi"/>
            <w:sz w:val="20"/>
            <w:szCs w:val="20"/>
          </w:rPr>
          <w:t>4.21.</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Slovenia</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_Toc496279038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64</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39" w:history="1">
        <w:r w:rsidR="00CD221E" w:rsidRPr="0086605D">
          <w:rPr>
            <w:rFonts w:asciiTheme="minorHAnsi" w:hAnsiTheme="minorHAnsi"/>
            <w:sz w:val="20"/>
            <w:szCs w:val="20"/>
          </w:rPr>
          <w:t>4.22.</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Spain</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_Toc496279039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67</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40" w:history="1">
        <w:r w:rsidR="00CD221E" w:rsidRPr="0086605D">
          <w:rPr>
            <w:rFonts w:asciiTheme="minorHAnsi" w:hAnsiTheme="minorHAnsi"/>
            <w:sz w:val="20"/>
            <w:szCs w:val="20"/>
          </w:rPr>
          <w:t>4.23.</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Sweden</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_Toc496279040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68</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41" w:history="1">
        <w:r w:rsidR="00CD221E" w:rsidRPr="0086605D">
          <w:rPr>
            <w:rFonts w:asciiTheme="minorHAnsi" w:hAnsiTheme="minorHAnsi"/>
            <w:sz w:val="20"/>
            <w:szCs w:val="20"/>
          </w:rPr>
          <w:t>4.24.</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Switzerland</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_Toc496279041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70</w:t>
        </w:r>
        <w:r w:rsidR="00CD221E" w:rsidRPr="0086605D">
          <w:rPr>
            <w:rFonts w:asciiTheme="minorHAnsi" w:hAnsiTheme="minorHAnsi"/>
            <w:noProof/>
            <w:webHidden/>
            <w:sz w:val="20"/>
            <w:szCs w:val="20"/>
            <w:lang w:val="en-GB"/>
          </w:rPr>
          <w:fldChar w:fldCharType="end"/>
        </w:r>
      </w:hyperlink>
    </w:p>
    <w:p w:rsidR="00CD221E" w:rsidRPr="0086605D" w:rsidRDefault="00A5140C">
      <w:pPr>
        <w:pStyle w:val="TM1"/>
        <w:tabs>
          <w:tab w:val="left" w:pos="760"/>
          <w:tab w:val="right" w:leader="dot" w:pos="8810"/>
        </w:tabs>
        <w:rPr>
          <w:rFonts w:asciiTheme="minorHAnsi" w:hAnsiTheme="minorHAnsi"/>
          <w:noProof/>
          <w:sz w:val="20"/>
          <w:szCs w:val="20"/>
          <w:lang w:val="en-GB"/>
        </w:rPr>
      </w:pPr>
      <w:hyperlink w:anchor="_Toc496279042" w:history="1">
        <w:r w:rsidR="00CD221E" w:rsidRPr="0086605D">
          <w:rPr>
            <w:rFonts w:asciiTheme="minorHAnsi" w:hAnsiTheme="minorHAnsi"/>
            <w:sz w:val="20"/>
            <w:szCs w:val="20"/>
          </w:rPr>
          <w:t>4.25.</w:t>
        </w:r>
        <w:r w:rsidR="00CD221E" w:rsidRPr="0086605D">
          <w:rPr>
            <w:rFonts w:asciiTheme="minorHAnsi" w:hAnsiTheme="minorHAnsi"/>
            <w:noProof/>
            <w:sz w:val="20"/>
            <w:szCs w:val="20"/>
            <w:lang w:val="en-GB"/>
          </w:rPr>
          <w:tab/>
        </w:r>
        <w:r w:rsidR="00CD221E" w:rsidRPr="0086605D">
          <w:rPr>
            <w:rFonts w:asciiTheme="minorHAnsi" w:hAnsiTheme="minorHAnsi"/>
            <w:sz w:val="20"/>
            <w:szCs w:val="20"/>
          </w:rPr>
          <w:t>United Kingdom</w:t>
        </w:r>
        <w:r w:rsidR="00CD221E" w:rsidRPr="0086605D">
          <w:rPr>
            <w:rFonts w:asciiTheme="minorHAnsi" w:hAnsiTheme="minorHAnsi"/>
            <w:noProof/>
            <w:webHidden/>
            <w:sz w:val="20"/>
            <w:szCs w:val="20"/>
            <w:lang w:val="en-GB"/>
          </w:rPr>
          <w:tab/>
        </w:r>
        <w:r w:rsidR="00CD221E" w:rsidRPr="0086605D">
          <w:rPr>
            <w:rFonts w:asciiTheme="minorHAnsi" w:hAnsiTheme="minorHAnsi"/>
            <w:noProof/>
            <w:webHidden/>
            <w:sz w:val="20"/>
            <w:szCs w:val="20"/>
            <w:lang w:val="en-GB"/>
          </w:rPr>
          <w:fldChar w:fldCharType="begin"/>
        </w:r>
        <w:r w:rsidR="00CD221E" w:rsidRPr="0086605D">
          <w:rPr>
            <w:rFonts w:asciiTheme="minorHAnsi" w:hAnsiTheme="minorHAnsi"/>
            <w:noProof/>
            <w:webHidden/>
            <w:sz w:val="20"/>
            <w:szCs w:val="20"/>
            <w:lang w:val="en-GB"/>
          </w:rPr>
          <w:instrText xml:space="preserve"> PAGEREF _Toc496279042 \h </w:instrText>
        </w:r>
        <w:r w:rsidR="00CD221E" w:rsidRPr="0086605D">
          <w:rPr>
            <w:rFonts w:asciiTheme="minorHAnsi" w:hAnsiTheme="minorHAnsi"/>
            <w:noProof/>
            <w:webHidden/>
            <w:sz w:val="20"/>
            <w:szCs w:val="20"/>
            <w:lang w:val="en-GB"/>
          </w:rPr>
        </w:r>
        <w:r w:rsidR="00CD221E" w:rsidRPr="0086605D">
          <w:rPr>
            <w:rFonts w:asciiTheme="minorHAnsi" w:hAnsiTheme="minorHAnsi"/>
            <w:noProof/>
            <w:webHidden/>
            <w:sz w:val="20"/>
            <w:szCs w:val="20"/>
            <w:lang w:val="en-GB"/>
          </w:rPr>
          <w:fldChar w:fldCharType="separate"/>
        </w:r>
        <w:r w:rsidR="00426BCE">
          <w:rPr>
            <w:rFonts w:asciiTheme="minorHAnsi" w:hAnsiTheme="minorHAnsi"/>
            <w:noProof/>
            <w:webHidden/>
            <w:sz w:val="20"/>
            <w:szCs w:val="20"/>
            <w:lang w:val="en-GB"/>
          </w:rPr>
          <w:t>72</w:t>
        </w:r>
        <w:r w:rsidR="00CD221E" w:rsidRPr="0086605D">
          <w:rPr>
            <w:rFonts w:asciiTheme="minorHAnsi" w:hAnsiTheme="minorHAnsi"/>
            <w:noProof/>
            <w:webHidden/>
            <w:sz w:val="20"/>
            <w:szCs w:val="20"/>
            <w:lang w:val="en-GB"/>
          </w:rPr>
          <w:fldChar w:fldCharType="end"/>
        </w:r>
      </w:hyperlink>
    </w:p>
    <w:p w:rsidR="00BE5533" w:rsidRPr="000A6B0A" w:rsidRDefault="001E3837" w:rsidP="00FC14E1">
      <w:pPr>
        <w:pStyle w:val="TM2"/>
        <w:tabs>
          <w:tab w:val="left" w:pos="720"/>
          <w:tab w:val="right" w:leader="dot" w:pos="9881"/>
        </w:tabs>
        <w:rPr>
          <w:rFonts w:asciiTheme="minorHAnsi" w:hAnsiTheme="minorHAnsi" w:cs="Calibri"/>
          <w:sz w:val="24"/>
          <w:szCs w:val="24"/>
          <w:lang w:val="en-GB"/>
        </w:rPr>
      </w:pPr>
      <w:r w:rsidRPr="0086605D">
        <w:rPr>
          <w:rFonts w:asciiTheme="minorHAnsi" w:hAnsiTheme="minorHAnsi"/>
          <w:i/>
          <w:iCs/>
          <w:noProof/>
          <w:sz w:val="20"/>
          <w:szCs w:val="20"/>
          <w:lang w:val="en-GB"/>
        </w:rPr>
        <w:fldChar w:fldCharType="end"/>
      </w:r>
    </w:p>
    <w:p w:rsidR="00BE5533" w:rsidRPr="000A6B0A" w:rsidRDefault="00BE5533" w:rsidP="003F250B">
      <w:pPr>
        <w:autoSpaceDE w:val="0"/>
        <w:autoSpaceDN w:val="0"/>
        <w:adjustRightInd w:val="0"/>
        <w:jc w:val="both"/>
        <w:rPr>
          <w:rFonts w:asciiTheme="minorHAnsi" w:hAnsiTheme="minorHAnsi" w:cs="Calibri"/>
          <w:sz w:val="24"/>
          <w:szCs w:val="24"/>
          <w:lang w:val="en-GB"/>
        </w:rPr>
      </w:pPr>
    </w:p>
    <w:p w:rsidR="00F76292" w:rsidRPr="000A6B0A" w:rsidRDefault="00F76292" w:rsidP="003F250B">
      <w:pPr>
        <w:autoSpaceDE w:val="0"/>
        <w:autoSpaceDN w:val="0"/>
        <w:adjustRightInd w:val="0"/>
        <w:jc w:val="both"/>
        <w:rPr>
          <w:rFonts w:asciiTheme="minorHAnsi" w:hAnsiTheme="minorHAnsi" w:cs="Calibri"/>
          <w:sz w:val="24"/>
          <w:szCs w:val="24"/>
          <w:lang w:val="en-GB"/>
        </w:rPr>
      </w:pPr>
    </w:p>
    <w:p w:rsidR="00F76292" w:rsidRPr="000A6B0A" w:rsidRDefault="00F76292" w:rsidP="003F250B">
      <w:pPr>
        <w:autoSpaceDE w:val="0"/>
        <w:autoSpaceDN w:val="0"/>
        <w:adjustRightInd w:val="0"/>
        <w:jc w:val="both"/>
        <w:rPr>
          <w:rFonts w:asciiTheme="minorHAnsi" w:hAnsiTheme="minorHAnsi" w:cs="Calibri"/>
          <w:sz w:val="24"/>
          <w:szCs w:val="24"/>
          <w:lang w:val="en-GB"/>
        </w:rPr>
      </w:pPr>
    </w:p>
    <w:p w:rsidR="00F76292" w:rsidRPr="000A6B0A" w:rsidRDefault="00F76292" w:rsidP="003F250B">
      <w:pPr>
        <w:autoSpaceDE w:val="0"/>
        <w:autoSpaceDN w:val="0"/>
        <w:adjustRightInd w:val="0"/>
        <w:jc w:val="both"/>
        <w:rPr>
          <w:rFonts w:asciiTheme="minorHAnsi" w:hAnsiTheme="minorHAnsi" w:cs="Calibri"/>
          <w:sz w:val="24"/>
          <w:szCs w:val="24"/>
          <w:lang w:val="en-GB"/>
        </w:rPr>
      </w:pPr>
    </w:p>
    <w:p w:rsidR="003F250B" w:rsidRPr="000A6B0A" w:rsidRDefault="00C15D0C" w:rsidP="00C15D0C">
      <w:pPr>
        <w:rPr>
          <w:rFonts w:asciiTheme="minorHAnsi" w:hAnsiTheme="minorHAnsi" w:cs="Calibri"/>
          <w:sz w:val="24"/>
          <w:szCs w:val="24"/>
          <w:lang w:val="en-GB"/>
        </w:rPr>
      </w:pPr>
      <w:r>
        <w:rPr>
          <w:rFonts w:asciiTheme="minorHAnsi" w:hAnsiTheme="minorHAnsi" w:cs="Calibri"/>
          <w:sz w:val="24"/>
          <w:szCs w:val="24"/>
          <w:lang w:val="en-GB"/>
        </w:rPr>
        <w:br w:type="page"/>
      </w:r>
    </w:p>
    <w:p w:rsidR="001E3837" w:rsidRPr="000A6B0A" w:rsidRDefault="003F250B" w:rsidP="00E561FB">
      <w:pPr>
        <w:pStyle w:val="Titre1"/>
        <w:numPr>
          <w:ilvl w:val="0"/>
          <w:numId w:val="13"/>
        </w:numPr>
        <w:spacing w:line="276" w:lineRule="auto"/>
        <w:jc w:val="both"/>
        <w:rPr>
          <w:rFonts w:asciiTheme="minorHAnsi" w:hAnsiTheme="minorHAnsi"/>
          <w:i/>
          <w:sz w:val="28"/>
          <w:szCs w:val="22"/>
          <w:lang w:val="en-GB"/>
        </w:rPr>
      </w:pPr>
      <w:bookmarkStart w:id="1" w:name="_Toc461625121"/>
      <w:bookmarkStart w:id="2" w:name="_Toc461625223"/>
      <w:bookmarkStart w:id="3" w:name="_Toc496279014"/>
      <w:r w:rsidRPr="000A6B0A">
        <w:rPr>
          <w:rFonts w:asciiTheme="minorHAnsi" w:hAnsiTheme="minorHAnsi"/>
          <w:i/>
          <w:sz w:val="28"/>
          <w:szCs w:val="22"/>
          <w:lang w:val="en-GB"/>
        </w:rPr>
        <w:lastRenderedPageBreak/>
        <w:t>General o</w:t>
      </w:r>
      <w:r w:rsidR="00B72A0E" w:rsidRPr="000A6B0A">
        <w:rPr>
          <w:rFonts w:asciiTheme="minorHAnsi" w:hAnsiTheme="minorHAnsi"/>
          <w:i/>
          <w:sz w:val="28"/>
          <w:szCs w:val="22"/>
          <w:lang w:val="en-GB"/>
        </w:rPr>
        <w:t xml:space="preserve">bjectives of the </w:t>
      </w:r>
      <w:r w:rsidR="001E3837" w:rsidRPr="000A6B0A">
        <w:rPr>
          <w:rFonts w:asciiTheme="minorHAnsi" w:hAnsiTheme="minorHAnsi"/>
          <w:i/>
          <w:sz w:val="28"/>
          <w:szCs w:val="22"/>
          <w:lang w:val="en-GB"/>
        </w:rPr>
        <w:t>document</w:t>
      </w:r>
      <w:bookmarkEnd w:id="1"/>
      <w:bookmarkEnd w:id="2"/>
      <w:bookmarkEnd w:id="3"/>
      <w:r w:rsidR="001E3837" w:rsidRPr="000A6B0A">
        <w:rPr>
          <w:rFonts w:asciiTheme="minorHAnsi" w:hAnsiTheme="minorHAnsi"/>
          <w:i/>
          <w:sz w:val="28"/>
          <w:szCs w:val="22"/>
          <w:lang w:val="en-GB"/>
        </w:rPr>
        <w:t xml:space="preserve"> </w:t>
      </w:r>
    </w:p>
    <w:p w:rsidR="003F250B" w:rsidRPr="000A6B0A" w:rsidRDefault="003F250B" w:rsidP="003F250B">
      <w:pPr>
        <w:pStyle w:val="Paragraphedeliste"/>
        <w:autoSpaceDE w:val="0"/>
        <w:autoSpaceDN w:val="0"/>
        <w:adjustRightInd w:val="0"/>
        <w:jc w:val="both"/>
        <w:rPr>
          <w:rFonts w:asciiTheme="minorHAnsi" w:hAnsiTheme="minorHAnsi"/>
          <w:sz w:val="22"/>
          <w:szCs w:val="22"/>
          <w:lang w:val="en-GB" w:eastAsia="fr-FR"/>
        </w:rPr>
      </w:pPr>
    </w:p>
    <w:p w:rsidR="002123F8" w:rsidRDefault="002123F8" w:rsidP="002123F8">
      <w:pPr>
        <w:autoSpaceDE w:val="0"/>
        <w:autoSpaceDN w:val="0"/>
        <w:adjustRightInd w:val="0"/>
        <w:spacing w:line="276" w:lineRule="auto"/>
        <w:jc w:val="both"/>
        <w:rPr>
          <w:rFonts w:asciiTheme="minorHAnsi" w:hAnsiTheme="minorHAnsi"/>
          <w:sz w:val="22"/>
          <w:szCs w:val="22"/>
          <w:lang w:val="en-GB" w:eastAsia="fr-FR"/>
        </w:rPr>
      </w:pPr>
      <w:r>
        <w:rPr>
          <w:rFonts w:asciiTheme="minorHAnsi" w:hAnsiTheme="minorHAnsi"/>
          <w:sz w:val="22"/>
          <w:szCs w:val="22"/>
          <w:lang w:val="en-GB" w:eastAsia="fr-FR"/>
        </w:rPr>
        <w:t>Directive 2012/34/EU, setting out the charging principles for the minimum access package, has now been implemented by all Member States. However, in some countries, charging schemes are still evolving as a consequence of the Directive’s transposition.</w:t>
      </w:r>
    </w:p>
    <w:p w:rsidR="002F7F48" w:rsidRPr="000A6B0A" w:rsidRDefault="002F7F48" w:rsidP="00603222">
      <w:pPr>
        <w:autoSpaceDE w:val="0"/>
        <w:autoSpaceDN w:val="0"/>
        <w:adjustRightInd w:val="0"/>
        <w:spacing w:line="276" w:lineRule="auto"/>
        <w:jc w:val="both"/>
        <w:rPr>
          <w:rFonts w:asciiTheme="minorHAnsi" w:hAnsiTheme="minorHAnsi"/>
          <w:sz w:val="22"/>
          <w:szCs w:val="22"/>
          <w:lang w:val="en-GB" w:eastAsia="fr-FR"/>
        </w:rPr>
      </w:pPr>
    </w:p>
    <w:p w:rsidR="001E3837" w:rsidRPr="000A6B0A" w:rsidRDefault="00C52A47" w:rsidP="00603222">
      <w:pPr>
        <w:autoSpaceDE w:val="0"/>
        <w:autoSpaceDN w:val="0"/>
        <w:adjustRightInd w:val="0"/>
        <w:spacing w:line="276" w:lineRule="auto"/>
        <w:jc w:val="both"/>
        <w:rPr>
          <w:rFonts w:asciiTheme="minorHAnsi" w:hAnsiTheme="minorHAnsi"/>
          <w:sz w:val="22"/>
          <w:szCs w:val="22"/>
          <w:lang w:val="en-GB" w:eastAsia="fr-FR"/>
        </w:rPr>
      </w:pPr>
      <w:r w:rsidRPr="000A6B0A">
        <w:rPr>
          <w:rFonts w:asciiTheme="minorHAnsi" w:hAnsiTheme="minorHAnsi"/>
          <w:sz w:val="22"/>
          <w:szCs w:val="22"/>
          <w:lang w:val="en-GB" w:eastAsia="fr-FR"/>
        </w:rPr>
        <w:t xml:space="preserve">The </w:t>
      </w:r>
      <w:r w:rsidR="00B72A0E" w:rsidRPr="000A6B0A">
        <w:rPr>
          <w:rFonts w:asciiTheme="minorHAnsi" w:hAnsiTheme="minorHAnsi"/>
          <w:sz w:val="22"/>
          <w:szCs w:val="22"/>
          <w:lang w:val="en-GB" w:eastAsia="fr-FR"/>
        </w:rPr>
        <w:t>2012</w:t>
      </w:r>
      <w:r w:rsidRPr="000A6B0A">
        <w:rPr>
          <w:rFonts w:asciiTheme="minorHAnsi" w:hAnsiTheme="minorHAnsi"/>
          <w:sz w:val="22"/>
          <w:szCs w:val="22"/>
          <w:lang w:val="en-GB" w:eastAsia="fr-FR"/>
        </w:rPr>
        <w:t>/</w:t>
      </w:r>
      <w:r w:rsidR="00B72A0E" w:rsidRPr="000A6B0A">
        <w:rPr>
          <w:rFonts w:asciiTheme="minorHAnsi" w:hAnsiTheme="minorHAnsi"/>
          <w:sz w:val="22"/>
          <w:szCs w:val="22"/>
          <w:lang w:val="en-GB" w:eastAsia="fr-FR"/>
        </w:rPr>
        <w:t>34</w:t>
      </w:r>
      <w:r w:rsidRPr="000A6B0A">
        <w:rPr>
          <w:rFonts w:asciiTheme="minorHAnsi" w:hAnsiTheme="minorHAnsi"/>
          <w:sz w:val="22"/>
          <w:szCs w:val="22"/>
          <w:lang w:val="en-GB" w:eastAsia="fr-FR"/>
        </w:rPr>
        <w:t>/</w:t>
      </w:r>
      <w:r w:rsidR="006A5FA9" w:rsidRPr="000A6B0A">
        <w:rPr>
          <w:rFonts w:asciiTheme="minorHAnsi" w:hAnsiTheme="minorHAnsi"/>
          <w:sz w:val="22"/>
          <w:szCs w:val="22"/>
          <w:lang w:val="en-GB" w:eastAsia="fr-FR"/>
        </w:rPr>
        <w:t>EU</w:t>
      </w:r>
      <w:r w:rsidRPr="000A6B0A">
        <w:rPr>
          <w:rFonts w:asciiTheme="minorHAnsi" w:hAnsiTheme="minorHAnsi"/>
          <w:sz w:val="22"/>
          <w:szCs w:val="22"/>
          <w:lang w:val="en-GB" w:eastAsia="fr-FR"/>
        </w:rPr>
        <w:t xml:space="preserve"> Directive</w:t>
      </w:r>
      <w:r w:rsidR="009064E5" w:rsidRPr="000A6B0A">
        <w:rPr>
          <w:rStyle w:val="Marquedecommentaire"/>
          <w:szCs w:val="20"/>
          <w:lang w:val="en-GB"/>
        </w:rPr>
        <w:t xml:space="preserve"> </w:t>
      </w:r>
      <w:r w:rsidR="001E3837" w:rsidRPr="000A6B0A">
        <w:rPr>
          <w:rFonts w:asciiTheme="minorHAnsi" w:hAnsiTheme="minorHAnsi"/>
          <w:sz w:val="22"/>
          <w:szCs w:val="22"/>
          <w:lang w:val="en-GB" w:eastAsia="fr-FR"/>
        </w:rPr>
        <w:t>is the</w:t>
      </w:r>
      <w:r w:rsidR="00603222" w:rsidRPr="000A6B0A">
        <w:rPr>
          <w:rFonts w:asciiTheme="minorHAnsi" w:hAnsiTheme="minorHAnsi"/>
          <w:sz w:val="22"/>
          <w:szCs w:val="22"/>
          <w:lang w:val="en-GB" w:eastAsia="fr-FR"/>
        </w:rPr>
        <w:t xml:space="preserve"> legal basis</w:t>
      </w:r>
      <w:r w:rsidR="001E3837" w:rsidRPr="000A6B0A">
        <w:rPr>
          <w:rFonts w:asciiTheme="minorHAnsi" w:hAnsiTheme="minorHAnsi"/>
          <w:sz w:val="22"/>
          <w:szCs w:val="22"/>
          <w:lang w:val="en-GB" w:eastAsia="fr-FR"/>
        </w:rPr>
        <w:t xml:space="preserve"> for establishing the principles governing rail charging systems in Europe. </w:t>
      </w:r>
      <w:r w:rsidR="00F60D9A">
        <w:rPr>
          <w:rFonts w:asciiTheme="minorHAnsi" w:hAnsiTheme="minorHAnsi"/>
          <w:sz w:val="22"/>
          <w:szCs w:val="22"/>
          <w:lang w:val="en-GB" w:eastAsia="fr-FR"/>
        </w:rPr>
        <w:t>The Recast</w:t>
      </w:r>
      <w:r w:rsidR="001E3837" w:rsidRPr="000A6B0A">
        <w:rPr>
          <w:rFonts w:asciiTheme="minorHAnsi" w:hAnsiTheme="minorHAnsi"/>
          <w:sz w:val="22"/>
          <w:szCs w:val="22"/>
          <w:lang w:val="en-GB" w:eastAsia="fr-FR"/>
        </w:rPr>
        <w:t xml:space="preserve"> requires Member States to establish charging frameworks that meet the management independence </w:t>
      </w:r>
      <w:r w:rsidR="00EA5C43" w:rsidRPr="000A6B0A">
        <w:rPr>
          <w:rFonts w:asciiTheme="minorHAnsi" w:hAnsiTheme="minorHAnsi"/>
          <w:sz w:val="22"/>
          <w:szCs w:val="22"/>
          <w:lang w:val="en-GB" w:eastAsia="fr-FR"/>
        </w:rPr>
        <w:t xml:space="preserve">initially </w:t>
      </w:r>
      <w:r w:rsidR="001E3837" w:rsidRPr="000A6B0A">
        <w:rPr>
          <w:rFonts w:asciiTheme="minorHAnsi" w:hAnsiTheme="minorHAnsi"/>
          <w:sz w:val="22"/>
          <w:szCs w:val="22"/>
          <w:lang w:val="en-GB" w:eastAsia="fr-FR"/>
        </w:rPr>
        <w:t xml:space="preserve">laid down in Directive 91/440/EC, and sets out in particular the principles of accounting, legal organisation and decision making separation between railway companies and the </w:t>
      </w:r>
      <w:r w:rsidR="0056475F">
        <w:rPr>
          <w:rFonts w:asciiTheme="minorHAnsi" w:hAnsiTheme="minorHAnsi"/>
          <w:sz w:val="22"/>
          <w:szCs w:val="22"/>
          <w:lang w:val="en-GB" w:eastAsia="fr-FR"/>
        </w:rPr>
        <w:t>S</w:t>
      </w:r>
      <w:r w:rsidR="001E3837" w:rsidRPr="000A6B0A">
        <w:rPr>
          <w:rFonts w:asciiTheme="minorHAnsi" w:hAnsiTheme="minorHAnsi"/>
          <w:sz w:val="22"/>
          <w:szCs w:val="22"/>
          <w:lang w:val="en-GB" w:eastAsia="fr-FR"/>
        </w:rPr>
        <w:t xml:space="preserve">tate, and between </w:t>
      </w:r>
      <w:r w:rsidR="00BE5533" w:rsidRPr="000A6B0A">
        <w:rPr>
          <w:rFonts w:asciiTheme="minorHAnsi" w:hAnsiTheme="minorHAnsi"/>
          <w:sz w:val="22"/>
          <w:szCs w:val="22"/>
          <w:lang w:val="en-GB" w:eastAsia="fr-FR"/>
        </w:rPr>
        <w:t>infrastructure managers (</w:t>
      </w:r>
      <w:r w:rsidR="009617E5" w:rsidRPr="000A6B0A">
        <w:rPr>
          <w:rFonts w:asciiTheme="minorHAnsi" w:hAnsiTheme="minorHAnsi"/>
          <w:sz w:val="22"/>
          <w:szCs w:val="22"/>
          <w:lang w:val="en-GB" w:eastAsia="fr-FR"/>
        </w:rPr>
        <w:t>IM</w:t>
      </w:r>
      <w:r w:rsidR="001E3837" w:rsidRPr="000A6B0A">
        <w:rPr>
          <w:rFonts w:asciiTheme="minorHAnsi" w:hAnsiTheme="minorHAnsi"/>
          <w:sz w:val="22"/>
          <w:szCs w:val="22"/>
          <w:lang w:val="en-GB" w:eastAsia="fr-FR"/>
        </w:rPr>
        <w:t>s</w:t>
      </w:r>
      <w:r w:rsidR="00BE5533" w:rsidRPr="000A6B0A">
        <w:rPr>
          <w:rFonts w:asciiTheme="minorHAnsi" w:hAnsiTheme="minorHAnsi"/>
          <w:sz w:val="22"/>
          <w:szCs w:val="22"/>
          <w:lang w:val="en-GB" w:eastAsia="fr-FR"/>
        </w:rPr>
        <w:t>)</w:t>
      </w:r>
      <w:r w:rsidR="001E3837" w:rsidRPr="000A6B0A">
        <w:rPr>
          <w:rFonts w:asciiTheme="minorHAnsi" w:hAnsiTheme="minorHAnsi"/>
          <w:sz w:val="22"/>
          <w:szCs w:val="22"/>
          <w:lang w:val="en-GB" w:eastAsia="fr-FR"/>
        </w:rPr>
        <w:t xml:space="preserve"> and railway undertakings. A regulatory body,</w:t>
      </w:r>
      <w:r w:rsidR="00795EF2" w:rsidRPr="000A6B0A">
        <w:rPr>
          <w:rFonts w:asciiTheme="minorHAnsi" w:hAnsiTheme="minorHAnsi"/>
          <w:sz w:val="22"/>
          <w:szCs w:val="22"/>
          <w:lang w:val="en-GB" w:eastAsia="fr-FR"/>
        </w:rPr>
        <w:t xml:space="preserve"> legally distinct and independent from any other public and private entity and</w:t>
      </w:r>
      <w:r w:rsidR="001E3837" w:rsidRPr="000A6B0A">
        <w:rPr>
          <w:rFonts w:asciiTheme="minorHAnsi" w:hAnsiTheme="minorHAnsi"/>
          <w:sz w:val="22"/>
          <w:szCs w:val="22"/>
          <w:lang w:val="en-GB" w:eastAsia="fr-FR"/>
        </w:rPr>
        <w:t xml:space="preserve"> independent from the </w:t>
      </w:r>
      <w:r w:rsidR="009617E5" w:rsidRPr="000A6B0A">
        <w:rPr>
          <w:rFonts w:asciiTheme="minorHAnsi" w:hAnsiTheme="minorHAnsi"/>
          <w:sz w:val="22"/>
          <w:szCs w:val="22"/>
          <w:lang w:val="en-GB" w:eastAsia="fr-FR"/>
        </w:rPr>
        <w:t>IM</w:t>
      </w:r>
      <w:r w:rsidR="001E3837" w:rsidRPr="000A6B0A">
        <w:rPr>
          <w:rFonts w:asciiTheme="minorHAnsi" w:hAnsiTheme="minorHAnsi"/>
          <w:sz w:val="22"/>
          <w:szCs w:val="22"/>
          <w:lang w:val="en-GB" w:eastAsia="fr-FR"/>
        </w:rPr>
        <w:t xml:space="preserve">, </w:t>
      </w:r>
      <w:r w:rsidR="002123F8">
        <w:rPr>
          <w:rFonts w:asciiTheme="minorHAnsi" w:hAnsiTheme="minorHAnsi"/>
          <w:sz w:val="22"/>
          <w:szCs w:val="22"/>
          <w:lang w:val="en-GB" w:eastAsia="fr-FR"/>
        </w:rPr>
        <w:t>is responsible</w:t>
      </w:r>
      <w:r w:rsidR="001E3837" w:rsidRPr="000A6B0A">
        <w:rPr>
          <w:rFonts w:asciiTheme="minorHAnsi" w:hAnsiTheme="minorHAnsi"/>
          <w:sz w:val="22"/>
          <w:szCs w:val="22"/>
          <w:lang w:val="en-GB" w:eastAsia="fr-FR"/>
        </w:rPr>
        <w:t xml:space="preserve"> to guarantee fairness and transparency.</w:t>
      </w:r>
      <w:r w:rsidR="00EA5C43" w:rsidRPr="000A6B0A">
        <w:rPr>
          <w:rStyle w:val="Appelnotedebasdep"/>
          <w:rFonts w:asciiTheme="minorHAnsi" w:hAnsiTheme="minorHAnsi"/>
          <w:sz w:val="22"/>
          <w:szCs w:val="22"/>
          <w:lang w:val="en-GB" w:eastAsia="fr-FR"/>
        </w:rPr>
        <w:t xml:space="preserve"> </w:t>
      </w: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eastAsia="fr-FR"/>
        </w:rPr>
      </w:pP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eastAsia="fr-FR"/>
        </w:rPr>
      </w:pPr>
      <w:r w:rsidRPr="000A6B0A">
        <w:rPr>
          <w:rFonts w:asciiTheme="minorHAnsi" w:hAnsiTheme="minorHAnsi"/>
          <w:sz w:val="22"/>
          <w:szCs w:val="22"/>
          <w:lang w:val="en-GB" w:eastAsia="fr-FR"/>
        </w:rPr>
        <w:t xml:space="preserve">This framework is crucial for a successful </w:t>
      </w:r>
      <w:r w:rsidR="008C0E0E" w:rsidRPr="000A6B0A">
        <w:rPr>
          <w:rFonts w:asciiTheme="minorHAnsi" w:hAnsiTheme="minorHAnsi"/>
          <w:sz w:val="22"/>
          <w:szCs w:val="22"/>
          <w:lang w:val="en-GB" w:eastAsia="fr-FR"/>
        </w:rPr>
        <w:t xml:space="preserve">functioning </w:t>
      </w:r>
      <w:r w:rsidRPr="000A6B0A">
        <w:rPr>
          <w:rFonts w:asciiTheme="minorHAnsi" w:hAnsiTheme="minorHAnsi"/>
          <w:sz w:val="22"/>
          <w:szCs w:val="22"/>
          <w:lang w:val="en-GB" w:eastAsia="fr-FR"/>
        </w:rPr>
        <w:t>of the European railway market. As a result, Member States are now moving towards more transparent capacity allocation and charging systems.</w:t>
      </w: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eastAsia="fr-FR"/>
        </w:rPr>
      </w:pPr>
    </w:p>
    <w:p w:rsidR="001E3837" w:rsidRPr="000A6B0A" w:rsidRDefault="0056475F" w:rsidP="00603222">
      <w:pPr>
        <w:autoSpaceDE w:val="0"/>
        <w:autoSpaceDN w:val="0"/>
        <w:adjustRightInd w:val="0"/>
        <w:spacing w:line="276" w:lineRule="auto"/>
        <w:jc w:val="both"/>
        <w:rPr>
          <w:rFonts w:asciiTheme="minorHAnsi" w:hAnsiTheme="minorHAnsi"/>
          <w:sz w:val="22"/>
          <w:szCs w:val="22"/>
          <w:lang w:val="en-GB" w:eastAsia="fr-FR"/>
        </w:rPr>
      </w:pPr>
      <w:r>
        <w:rPr>
          <w:rFonts w:asciiTheme="minorHAnsi" w:hAnsiTheme="minorHAnsi"/>
          <w:sz w:val="22"/>
          <w:szCs w:val="22"/>
          <w:lang w:val="en-GB" w:eastAsia="fr-FR"/>
        </w:rPr>
        <w:t>In particular, t</w:t>
      </w:r>
      <w:r w:rsidR="00B52093" w:rsidRPr="000A6B0A">
        <w:rPr>
          <w:rFonts w:asciiTheme="minorHAnsi" w:hAnsiTheme="minorHAnsi"/>
          <w:sz w:val="22"/>
          <w:szCs w:val="22"/>
          <w:lang w:val="en-GB" w:eastAsia="fr-FR"/>
        </w:rPr>
        <w:t xml:space="preserve">he </w:t>
      </w:r>
      <w:r w:rsidR="001E3837" w:rsidRPr="000A6B0A">
        <w:rPr>
          <w:rFonts w:asciiTheme="minorHAnsi" w:hAnsiTheme="minorHAnsi"/>
          <w:sz w:val="22"/>
          <w:szCs w:val="22"/>
          <w:lang w:val="en-GB" w:eastAsia="fr-FR"/>
        </w:rPr>
        <w:t>charging system</w:t>
      </w:r>
      <w:r w:rsidR="00B52093" w:rsidRPr="000A6B0A">
        <w:rPr>
          <w:rFonts w:asciiTheme="minorHAnsi" w:hAnsiTheme="minorHAnsi"/>
          <w:sz w:val="22"/>
          <w:szCs w:val="22"/>
          <w:lang w:val="en-GB" w:eastAsia="fr-FR"/>
        </w:rPr>
        <w:t xml:space="preserve"> can</w:t>
      </w:r>
      <w:r w:rsidR="00FB3DE5" w:rsidRPr="000A6B0A">
        <w:rPr>
          <w:rFonts w:asciiTheme="minorHAnsi" w:hAnsiTheme="minorHAnsi"/>
          <w:sz w:val="22"/>
          <w:szCs w:val="22"/>
          <w:lang w:val="en-GB" w:eastAsia="fr-FR"/>
        </w:rPr>
        <w:t xml:space="preserve"> provide several desirable outcomes. It obviously provides a mechanism for the </w:t>
      </w:r>
      <w:r w:rsidR="009617E5" w:rsidRPr="000A6B0A">
        <w:rPr>
          <w:rFonts w:asciiTheme="minorHAnsi" w:hAnsiTheme="minorHAnsi"/>
          <w:sz w:val="22"/>
          <w:szCs w:val="22"/>
          <w:lang w:val="en-GB" w:eastAsia="fr-FR"/>
        </w:rPr>
        <w:t>IM</w:t>
      </w:r>
      <w:r w:rsidR="00FB3DE5" w:rsidRPr="000A6B0A">
        <w:rPr>
          <w:rFonts w:asciiTheme="minorHAnsi" w:hAnsiTheme="minorHAnsi"/>
          <w:sz w:val="22"/>
          <w:szCs w:val="22"/>
          <w:lang w:val="en-GB" w:eastAsia="fr-FR"/>
        </w:rPr>
        <w:t xml:space="preserve"> to recover costs. However it can also be </w:t>
      </w:r>
      <w:r w:rsidR="00B52093" w:rsidRPr="000A6B0A">
        <w:rPr>
          <w:rFonts w:asciiTheme="minorHAnsi" w:hAnsiTheme="minorHAnsi"/>
          <w:sz w:val="22"/>
          <w:szCs w:val="22"/>
          <w:lang w:val="en-GB" w:eastAsia="fr-FR"/>
        </w:rPr>
        <w:t xml:space="preserve">used </w:t>
      </w:r>
      <w:r w:rsidR="001E3837" w:rsidRPr="000A6B0A">
        <w:rPr>
          <w:rFonts w:asciiTheme="minorHAnsi" w:hAnsiTheme="minorHAnsi"/>
          <w:sz w:val="22"/>
          <w:szCs w:val="22"/>
          <w:lang w:val="en-GB" w:eastAsia="fr-FR"/>
        </w:rPr>
        <w:t xml:space="preserve">to incentivise the optimal use </w:t>
      </w:r>
      <w:r w:rsidR="00FB3DE5" w:rsidRPr="000A6B0A">
        <w:rPr>
          <w:rFonts w:asciiTheme="minorHAnsi" w:hAnsiTheme="minorHAnsi"/>
          <w:sz w:val="22"/>
          <w:szCs w:val="22"/>
          <w:lang w:val="en-GB" w:eastAsia="fr-FR"/>
        </w:rPr>
        <w:t xml:space="preserve">and provision </w:t>
      </w:r>
      <w:r w:rsidR="001E3837" w:rsidRPr="000A6B0A">
        <w:rPr>
          <w:rFonts w:asciiTheme="minorHAnsi" w:hAnsiTheme="minorHAnsi"/>
          <w:sz w:val="22"/>
          <w:szCs w:val="22"/>
          <w:lang w:val="en-GB" w:eastAsia="fr-FR"/>
        </w:rPr>
        <w:t>of the infrastructure</w:t>
      </w:r>
      <w:r w:rsidR="00FB3DE5" w:rsidRPr="000A6B0A">
        <w:rPr>
          <w:rFonts w:asciiTheme="minorHAnsi" w:hAnsiTheme="minorHAnsi"/>
          <w:sz w:val="22"/>
          <w:szCs w:val="22"/>
          <w:lang w:val="en-GB" w:eastAsia="fr-FR"/>
        </w:rPr>
        <w:t>.</w:t>
      </w:r>
      <w:r w:rsidR="000A0B5F" w:rsidRPr="000A6B0A">
        <w:rPr>
          <w:rFonts w:asciiTheme="minorHAnsi" w:hAnsiTheme="minorHAnsi"/>
          <w:sz w:val="22"/>
          <w:szCs w:val="22"/>
          <w:lang w:val="en-GB" w:eastAsia="fr-FR"/>
        </w:rPr>
        <w:t xml:space="preserve"> For example, charges based on cost provide signals to operators and funders to only use the infrastructure where the benefits of use exceed this cost</w:t>
      </w:r>
      <w:r w:rsidR="00B4489D" w:rsidRPr="000A6B0A">
        <w:rPr>
          <w:rFonts w:asciiTheme="minorHAnsi" w:hAnsiTheme="minorHAnsi"/>
          <w:sz w:val="22"/>
          <w:szCs w:val="22"/>
          <w:lang w:val="en-GB" w:eastAsia="fr-FR"/>
        </w:rPr>
        <w:t>. Furthermore, it</w:t>
      </w:r>
      <w:r w:rsidR="000A0B5F" w:rsidRPr="000A6B0A">
        <w:rPr>
          <w:rFonts w:asciiTheme="minorHAnsi" w:hAnsiTheme="minorHAnsi"/>
          <w:sz w:val="22"/>
          <w:szCs w:val="22"/>
          <w:lang w:val="en-GB" w:eastAsia="fr-FR"/>
        </w:rPr>
        <w:t xml:space="preserve"> can incentivise </w:t>
      </w:r>
      <w:r w:rsidR="00795EF2" w:rsidRPr="000A6B0A">
        <w:rPr>
          <w:rFonts w:asciiTheme="minorHAnsi" w:hAnsiTheme="minorHAnsi"/>
          <w:sz w:val="22"/>
          <w:szCs w:val="22"/>
          <w:lang w:val="en-GB" w:eastAsia="fr-FR"/>
        </w:rPr>
        <w:t xml:space="preserve">railway undertakings </w:t>
      </w:r>
      <w:r w:rsidR="000A0B5F" w:rsidRPr="000A6B0A">
        <w:rPr>
          <w:rFonts w:asciiTheme="minorHAnsi" w:hAnsiTheme="minorHAnsi"/>
          <w:sz w:val="22"/>
          <w:szCs w:val="22"/>
          <w:lang w:val="en-GB" w:eastAsia="fr-FR"/>
        </w:rPr>
        <w:t xml:space="preserve">to </w:t>
      </w:r>
      <w:r w:rsidR="00B4489D" w:rsidRPr="000A6B0A">
        <w:rPr>
          <w:rFonts w:asciiTheme="minorHAnsi" w:hAnsiTheme="minorHAnsi"/>
          <w:sz w:val="22"/>
          <w:szCs w:val="22"/>
          <w:lang w:val="en-GB" w:eastAsia="fr-FR"/>
        </w:rPr>
        <w:t xml:space="preserve">find ways to </w:t>
      </w:r>
      <w:r w:rsidR="000A0B5F" w:rsidRPr="000A6B0A">
        <w:rPr>
          <w:rFonts w:asciiTheme="minorHAnsi" w:hAnsiTheme="minorHAnsi"/>
          <w:sz w:val="22"/>
          <w:szCs w:val="22"/>
          <w:lang w:val="en-GB" w:eastAsia="fr-FR"/>
        </w:rPr>
        <w:t>reduce the costs they place on the network</w:t>
      </w:r>
      <w:r w:rsidR="00D3143A" w:rsidRPr="000A6B0A">
        <w:rPr>
          <w:rFonts w:asciiTheme="minorHAnsi" w:hAnsiTheme="minorHAnsi"/>
          <w:sz w:val="22"/>
          <w:szCs w:val="22"/>
          <w:lang w:val="en-GB" w:eastAsia="fr-FR"/>
        </w:rPr>
        <w:t xml:space="preserve"> by</w:t>
      </w:r>
      <w:r w:rsidR="003F2DCB" w:rsidRPr="000A6B0A">
        <w:rPr>
          <w:rFonts w:asciiTheme="minorHAnsi" w:hAnsiTheme="minorHAnsi"/>
          <w:sz w:val="22"/>
          <w:szCs w:val="22"/>
          <w:lang w:val="en-GB" w:eastAsia="fr-FR"/>
        </w:rPr>
        <w:t>,</w:t>
      </w:r>
      <w:r w:rsidR="00D3143A" w:rsidRPr="000A6B0A">
        <w:rPr>
          <w:rFonts w:asciiTheme="minorHAnsi" w:hAnsiTheme="minorHAnsi"/>
          <w:sz w:val="22"/>
          <w:szCs w:val="22"/>
          <w:lang w:val="en-GB" w:eastAsia="fr-FR"/>
        </w:rPr>
        <w:t xml:space="preserve"> for example</w:t>
      </w:r>
      <w:r w:rsidR="003F2DCB" w:rsidRPr="000A6B0A">
        <w:rPr>
          <w:rFonts w:asciiTheme="minorHAnsi" w:hAnsiTheme="minorHAnsi"/>
          <w:sz w:val="22"/>
          <w:szCs w:val="22"/>
          <w:lang w:val="en-GB" w:eastAsia="fr-FR"/>
        </w:rPr>
        <w:t>,</w:t>
      </w:r>
      <w:r w:rsidR="00D3143A" w:rsidRPr="000A6B0A">
        <w:rPr>
          <w:rFonts w:asciiTheme="minorHAnsi" w:hAnsiTheme="minorHAnsi"/>
          <w:sz w:val="22"/>
          <w:szCs w:val="22"/>
          <w:lang w:val="en-GB" w:eastAsia="fr-FR"/>
        </w:rPr>
        <w:t xml:space="preserve"> investing in less damaging trains</w:t>
      </w:r>
      <w:r w:rsidR="000A0B5F" w:rsidRPr="000A6B0A">
        <w:rPr>
          <w:rFonts w:asciiTheme="minorHAnsi" w:hAnsiTheme="minorHAnsi"/>
          <w:sz w:val="22"/>
          <w:szCs w:val="22"/>
          <w:lang w:val="en-GB" w:eastAsia="fr-FR"/>
        </w:rPr>
        <w:t>.</w:t>
      </w:r>
    </w:p>
    <w:p w:rsidR="001E3837" w:rsidRPr="000A6B0A" w:rsidRDefault="001E3837" w:rsidP="00603222">
      <w:pPr>
        <w:spacing w:line="276" w:lineRule="auto"/>
        <w:jc w:val="both"/>
        <w:rPr>
          <w:rFonts w:asciiTheme="minorHAnsi" w:hAnsiTheme="minorHAnsi"/>
          <w:sz w:val="22"/>
          <w:szCs w:val="22"/>
          <w:lang w:val="en-GB" w:eastAsia="fr-FR"/>
        </w:rPr>
      </w:pPr>
    </w:p>
    <w:p w:rsidR="001E3837" w:rsidRPr="000A6B0A" w:rsidRDefault="001E3837" w:rsidP="00603222">
      <w:pPr>
        <w:spacing w:line="276" w:lineRule="auto"/>
        <w:jc w:val="both"/>
        <w:rPr>
          <w:rFonts w:asciiTheme="minorHAnsi" w:hAnsiTheme="minorHAnsi"/>
          <w:sz w:val="22"/>
          <w:szCs w:val="22"/>
          <w:lang w:val="en-GB" w:eastAsia="fr-FR"/>
        </w:rPr>
      </w:pPr>
      <w:r w:rsidRPr="000A6B0A">
        <w:rPr>
          <w:rFonts w:asciiTheme="minorHAnsi" w:hAnsiTheme="minorHAnsi"/>
          <w:sz w:val="22"/>
          <w:szCs w:val="22"/>
          <w:lang w:val="en-GB" w:eastAsia="fr-FR"/>
        </w:rPr>
        <w:t xml:space="preserve">The purpose of this document is to present an overview of the </w:t>
      </w:r>
      <w:r w:rsidR="00603222" w:rsidRPr="000A6B0A">
        <w:rPr>
          <w:rFonts w:asciiTheme="minorHAnsi" w:hAnsiTheme="minorHAnsi"/>
          <w:sz w:val="22"/>
          <w:szCs w:val="22"/>
          <w:lang w:val="en-GB" w:eastAsia="fr-FR"/>
        </w:rPr>
        <w:t xml:space="preserve">charging approaches for the minimum access package </w:t>
      </w:r>
      <w:r w:rsidRPr="000A6B0A">
        <w:rPr>
          <w:rFonts w:asciiTheme="minorHAnsi" w:hAnsiTheme="minorHAnsi"/>
          <w:sz w:val="22"/>
          <w:szCs w:val="22"/>
          <w:lang w:val="en-GB" w:eastAsia="fr-FR"/>
        </w:rPr>
        <w:t>in the Member States which are part of the IRG-Rail charging working group.</w:t>
      </w:r>
      <w:r w:rsidR="00EA5C43" w:rsidRPr="000A6B0A">
        <w:rPr>
          <w:rFonts w:asciiTheme="minorHAnsi" w:hAnsiTheme="minorHAnsi"/>
          <w:sz w:val="22"/>
          <w:szCs w:val="22"/>
          <w:lang w:val="en-GB" w:eastAsia="fr-FR"/>
        </w:rPr>
        <w:t xml:space="preserve"> </w:t>
      </w: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eastAsia="fr-FR"/>
        </w:rPr>
      </w:pPr>
    </w:p>
    <w:p w:rsidR="002123F8" w:rsidRDefault="002123F8" w:rsidP="002123F8">
      <w:pPr>
        <w:spacing w:line="276" w:lineRule="auto"/>
        <w:jc w:val="both"/>
        <w:rPr>
          <w:rFonts w:asciiTheme="minorHAnsi" w:hAnsiTheme="minorHAnsi"/>
          <w:sz w:val="22"/>
          <w:szCs w:val="22"/>
          <w:lang w:val="en-GB"/>
        </w:rPr>
      </w:pPr>
      <w:r>
        <w:rPr>
          <w:rFonts w:asciiTheme="minorHAnsi" w:hAnsiTheme="minorHAnsi"/>
          <w:sz w:val="22"/>
          <w:szCs w:val="22"/>
          <w:lang w:val="en-GB"/>
        </w:rPr>
        <w:t>IRG-Rail intends to expand this overview report and has invited other IRG-Rail members and European rail regulatory bodies to participate and submit information on their charging systems when available.</w:t>
      </w:r>
      <w:r>
        <w:rPr>
          <w:rFonts w:asciiTheme="minorHAnsi" w:hAnsiTheme="minorHAnsi"/>
          <w:b/>
          <w:bCs/>
          <w:sz w:val="22"/>
          <w:szCs w:val="22"/>
          <w:lang w:val="en-GB" w:eastAsia="fr-FR"/>
        </w:rPr>
        <w:t xml:space="preserve"> The overview published in October 2012 has been updated </w:t>
      </w:r>
      <w:r w:rsidR="00F60D9A">
        <w:rPr>
          <w:rFonts w:asciiTheme="minorHAnsi" w:hAnsiTheme="minorHAnsi"/>
          <w:b/>
          <w:bCs/>
          <w:sz w:val="22"/>
          <w:szCs w:val="22"/>
          <w:lang w:val="en-GB" w:eastAsia="fr-FR"/>
        </w:rPr>
        <w:t>four times</w:t>
      </w:r>
      <w:r>
        <w:rPr>
          <w:rFonts w:asciiTheme="minorHAnsi" w:hAnsiTheme="minorHAnsi"/>
          <w:b/>
          <w:bCs/>
          <w:sz w:val="22"/>
          <w:szCs w:val="22"/>
          <w:lang w:val="en-GB" w:eastAsia="fr-FR"/>
        </w:rPr>
        <w:t>. The second version provided an addendum (section 3) that explained the regulatory bodies’ general roles in charging issues. This third version includes descriptions on the role of regulatory bodies in respect of investments (section 3.4) and gives an overview on the impact of public compensation on charges (section 3.4).</w:t>
      </w:r>
      <w:r w:rsidRPr="0086605D">
        <w:rPr>
          <w:rFonts w:asciiTheme="minorHAnsi" w:hAnsiTheme="minorHAnsi"/>
          <w:b/>
          <w:sz w:val="22"/>
          <w:szCs w:val="22"/>
          <w:lang w:val="en-GB"/>
        </w:rPr>
        <w:t xml:space="preserve"> </w:t>
      </w:r>
      <w:r w:rsidR="00F60D9A" w:rsidRPr="0086605D">
        <w:rPr>
          <w:rFonts w:asciiTheme="minorHAnsi" w:hAnsiTheme="minorHAnsi"/>
          <w:b/>
          <w:sz w:val="22"/>
          <w:szCs w:val="22"/>
          <w:lang w:val="en-GB"/>
        </w:rPr>
        <w:t>The fourth version includes new countries and adds tables summarizing the main information included in section 3.</w:t>
      </w:r>
      <w:r w:rsidR="00F60D9A">
        <w:rPr>
          <w:rFonts w:asciiTheme="minorHAnsi" w:hAnsiTheme="minorHAnsi"/>
          <w:sz w:val="22"/>
          <w:szCs w:val="22"/>
          <w:lang w:val="en-GB"/>
        </w:rPr>
        <w:t xml:space="preserve"> </w:t>
      </w:r>
      <w:r>
        <w:rPr>
          <w:rFonts w:asciiTheme="minorHAnsi" w:hAnsiTheme="minorHAnsi"/>
          <w:sz w:val="22"/>
          <w:szCs w:val="22"/>
          <w:lang w:val="en-GB"/>
        </w:rPr>
        <w:t>The IRG-Rail charging working group will update the report as necessary.</w:t>
      </w:r>
    </w:p>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1E383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review of charging systems should allow the IRG-Rail charging working group to:</w:t>
      </w:r>
    </w:p>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DC105B" w:rsidP="00E561FB">
      <w:pPr>
        <w:numPr>
          <w:ilvl w:val="0"/>
          <w:numId w:val="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Obtain</w:t>
      </w:r>
      <w:r w:rsidR="001E3837" w:rsidRPr="000A6B0A">
        <w:rPr>
          <w:rFonts w:asciiTheme="minorHAnsi" w:hAnsiTheme="minorHAnsi"/>
          <w:sz w:val="22"/>
          <w:szCs w:val="22"/>
          <w:lang w:val="en-GB"/>
        </w:rPr>
        <w:t xml:space="preserve"> a common understanding of charging principles in rail in Europe;</w:t>
      </w:r>
    </w:p>
    <w:p w:rsidR="001E3837" w:rsidRPr="000A6B0A" w:rsidRDefault="001E3837" w:rsidP="00E561FB">
      <w:pPr>
        <w:numPr>
          <w:ilvl w:val="0"/>
          <w:numId w:val="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lastRenderedPageBreak/>
        <w:t>Explore a common framework for the review o</w:t>
      </w:r>
      <w:r w:rsidR="00DC105B" w:rsidRPr="000A6B0A">
        <w:rPr>
          <w:rFonts w:asciiTheme="minorHAnsi" w:hAnsiTheme="minorHAnsi"/>
          <w:sz w:val="22"/>
          <w:szCs w:val="22"/>
          <w:lang w:val="en-GB"/>
        </w:rPr>
        <w:t>f charging principles given by D</w:t>
      </w:r>
      <w:r w:rsidRPr="000A6B0A">
        <w:rPr>
          <w:rFonts w:asciiTheme="minorHAnsi" w:hAnsiTheme="minorHAnsi"/>
          <w:sz w:val="22"/>
          <w:szCs w:val="22"/>
          <w:lang w:val="en-GB"/>
        </w:rPr>
        <w:t xml:space="preserve">irective </w:t>
      </w:r>
      <w:r w:rsidR="00641986" w:rsidRPr="000A6B0A">
        <w:rPr>
          <w:rFonts w:asciiTheme="minorHAnsi" w:hAnsiTheme="minorHAnsi"/>
          <w:sz w:val="22"/>
          <w:szCs w:val="22"/>
          <w:lang w:val="en-GB"/>
        </w:rPr>
        <w:t>2012/34/EU</w:t>
      </w:r>
      <w:r w:rsidR="002123F8">
        <w:rPr>
          <w:rFonts w:asciiTheme="minorHAnsi" w:hAnsiTheme="minorHAnsi"/>
          <w:sz w:val="22"/>
          <w:szCs w:val="22"/>
          <w:lang w:val="en-GB"/>
        </w:rPr>
        <w:t>, as amended</w:t>
      </w:r>
      <w:r w:rsidR="00B63436" w:rsidRPr="000A6B0A">
        <w:rPr>
          <w:rFonts w:asciiTheme="minorHAnsi" w:hAnsiTheme="minorHAnsi"/>
          <w:sz w:val="22"/>
          <w:szCs w:val="22"/>
          <w:lang w:val="en-GB"/>
        </w:rPr>
        <w:t>;</w:t>
      </w:r>
    </w:p>
    <w:p w:rsidR="008C0E0E" w:rsidRPr="000A6B0A" w:rsidRDefault="001E3837" w:rsidP="00E561FB">
      <w:pPr>
        <w:numPr>
          <w:ilvl w:val="0"/>
          <w:numId w:val="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Refine and/or expand activities considered in the working program</w:t>
      </w:r>
      <w:r w:rsidR="00DC105B" w:rsidRPr="000A6B0A">
        <w:rPr>
          <w:rFonts w:asciiTheme="minorHAnsi" w:hAnsiTheme="minorHAnsi"/>
          <w:sz w:val="22"/>
          <w:szCs w:val="22"/>
          <w:lang w:val="en-GB"/>
        </w:rPr>
        <w:t>me</w:t>
      </w:r>
      <w:r w:rsidRPr="000A6B0A">
        <w:rPr>
          <w:rFonts w:asciiTheme="minorHAnsi" w:hAnsiTheme="minorHAnsi"/>
          <w:sz w:val="22"/>
          <w:szCs w:val="22"/>
          <w:lang w:val="en-GB"/>
        </w:rPr>
        <w:t xml:space="preserve"> of the working group.</w:t>
      </w:r>
      <w:bookmarkStart w:id="4" w:name="_Toc308701991"/>
      <w:r w:rsidR="008C0E0E" w:rsidRPr="000A6B0A">
        <w:rPr>
          <w:rFonts w:asciiTheme="minorHAnsi" w:hAnsiTheme="minorHAnsi"/>
          <w:sz w:val="22"/>
          <w:szCs w:val="22"/>
          <w:lang w:val="en-GB"/>
        </w:rPr>
        <w:br/>
      </w:r>
    </w:p>
    <w:p w:rsidR="001E3837" w:rsidRPr="000A6B0A" w:rsidRDefault="00831856" w:rsidP="00E561FB">
      <w:pPr>
        <w:pStyle w:val="Titre1"/>
        <w:numPr>
          <w:ilvl w:val="0"/>
          <w:numId w:val="13"/>
        </w:numPr>
        <w:spacing w:line="276" w:lineRule="auto"/>
        <w:jc w:val="both"/>
        <w:rPr>
          <w:rFonts w:asciiTheme="minorHAnsi" w:hAnsiTheme="minorHAnsi"/>
          <w:i/>
          <w:sz w:val="28"/>
          <w:szCs w:val="22"/>
          <w:lang w:val="en-GB"/>
        </w:rPr>
      </w:pPr>
      <w:bookmarkStart w:id="5" w:name="_Toc461625122"/>
      <w:bookmarkStart w:id="6" w:name="_Toc461625224"/>
      <w:bookmarkStart w:id="7" w:name="_Toc496279015"/>
      <w:r w:rsidRPr="000A6B0A">
        <w:rPr>
          <w:rFonts w:asciiTheme="minorHAnsi" w:hAnsiTheme="minorHAnsi"/>
          <w:i/>
          <w:sz w:val="28"/>
          <w:szCs w:val="22"/>
          <w:lang w:val="en-GB"/>
        </w:rPr>
        <w:t>Charging characteristics: r</w:t>
      </w:r>
      <w:r w:rsidR="001E3837" w:rsidRPr="000A6B0A">
        <w:rPr>
          <w:rFonts w:asciiTheme="minorHAnsi" w:hAnsiTheme="minorHAnsi"/>
          <w:i/>
          <w:sz w:val="28"/>
          <w:szCs w:val="22"/>
          <w:lang w:val="en-GB"/>
        </w:rPr>
        <w:t>eview of charging principles in I</w:t>
      </w:r>
      <w:r w:rsidR="00603222" w:rsidRPr="000A6B0A">
        <w:rPr>
          <w:rFonts w:asciiTheme="minorHAnsi" w:hAnsiTheme="minorHAnsi"/>
          <w:i/>
          <w:sz w:val="28"/>
          <w:szCs w:val="22"/>
          <w:lang w:val="en-GB"/>
        </w:rPr>
        <w:t>RG-Rail M</w:t>
      </w:r>
      <w:r w:rsidR="001E3837" w:rsidRPr="000A6B0A">
        <w:rPr>
          <w:rFonts w:asciiTheme="minorHAnsi" w:hAnsiTheme="minorHAnsi"/>
          <w:i/>
          <w:sz w:val="28"/>
          <w:szCs w:val="22"/>
          <w:lang w:val="en-GB"/>
        </w:rPr>
        <w:t>ember</w:t>
      </w:r>
      <w:r w:rsidR="00075DB4" w:rsidRPr="000A6B0A">
        <w:rPr>
          <w:rFonts w:asciiTheme="minorHAnsi" w:hAnsiTheme="minorHAnsi"/>
          <w:i/>
          <w:sz w:val="28"/>
          <w:szCs w:val="22"/>
          <w:lang w:val="en-GB"/>
        </w:rPr>
        <w:t xml:space="preserve"> S</w:t>
      </w:r>
      <w:r w:rsidR="006A5FA9" w:rsidRPr="000A6B0A">
        <w:rPr>
          <w:rFonts w:asciiTheme="minorHAnsi" w:hAnsiTheme="minorHAnsi"/>
          <w:i/>
          <w:sz w:val="28"/>
          <w:szCs w:val="22"/>
          <w:lang w:val="en-GB"/>
        </w:rPr>
        <w:t>tates</w:t>
      </w:r>
      <w:bookmarkEnd w:id="4"/>
      <w:bookmarkEnd w:id="5"/>
      <w:bookmarkEnd w:id="6"/>
      <w:bookmarkEnd w:id="7"/>
    </w:p>
    <w:p w:rsidR="003F250B" w:rsidRPr="000A6B0A" w:rsidRDefault="003F250B" w:rsidP="00603222">
      <w:pPr>
        <w:spacing w:line="276" w:lineRule="auto"/>
        <w:rPr>
          <w:lang w:val="en-GB"/>
        </w:rPr>
      </w:pPr>
    </w:p>
    <w:p w:rsidR="003F250B" w:rsidRPr="000A6B0A" w:rsidRDefault="003F250B"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According to Directive 2012/34/EU</w:t>
      </w:r>
      <w:r w:rsidR="00795EF2" w:rsidRPr="000A6B0A">
        <w:rPr>
          <w:rFonts w:asciiTheme="minorHAnsi" w:hAnsiTheme="minorHAnsi"/>
          <w:sz w:val="22"/>
          <w:szCs w:val="22"/>
          <w:lang w:val="en-GB"/>
        </w:rPr>
        <w:t>, Annex II</w:t>
      </w:r>
      <w:r w:rsidR="00B8335F" w:rsidRPr="000A6B0A">
        <w:rPr>
          <w:rFonts w:asciiTheme="minorHAnsi" w:hAnsiTheme="minorHAnsi"/>
          <w:sz w:val="22"/>
          <w:szCs w:val="22"/>
          <w:lang w:val="en-GB"/>
        </w:rPr>
        <w:t>-</w:t>
      </w:r>
      <w:r w:rsidR="00795EF2" w:rsidRPr="000A6B0A">
        <w:rPr>
          <w:rFonts w:asciiTheme="minorHAnsi" w:hAnsiTheme="minorHAnsi"/>
          <w:sz w:val="22"/>
          <w:szCs w:val="22"/>
          <w:lang w:val="en-GB"/>
        </w:rPr>
        <w:t>1</w:t>
      </w:r>
      <w:r w:rsidRPr="000A6B0A">
        <w:rPr>
          <w:rFonts w:asciiTheme="minorHAnsi" w:hAnsiTheme="minorHAnsi"/>
          <w:sz w:val="22"/>
          <w:szCs w:val="22"/>
          <w:lang w:val="en-GB"/>
        </w:rPr>
        <w:t>, the charges specified in the network statements should cover the items included in the minimum access package which are:</w:t>
      </w:r>
    </w:p>
    <w:p w:rsidR="003F250B" w:rsidRPr="000A6B0A" w:rsidRDefault="003F250B" w:rsidP="00603222">
      <w:pPr>
        <w:spacing w:line="276" w:lineRule="auto"/>
        <w:jc w:val="both"/>
        <w:rPr>
          <w:rFonts w:asciiTheme="minorHAnsi" w:hAnsiTheme="minorHAnsi"/>
          <w:sz w:val="22"/>
          <w:szCs w:val="22"/>
          <w:lang w:val="en-GB"/>
        </w:rPr>
      </w:pPr>
    </w:p>
    <w:p w:rsidR="00795EF2" w:rsidRPr="000A6B0A" w:rsidRDefault="00795EF2" w:rsidP="00795EF2">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Handling of requests for infrastructure capacity;</w:t>
      </w:r>
    </w:p>
    <w:p w:rsidR="003F250B" w:rsidRPr="000A6B0A" w:rsidRDefault="003F250B" w:rsidP="00E561FB">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Right to utilise capacity which is granted;</w:t>
      </w:r>
    </w:p>
    <w:p w:rsidR="00795EF2" w:rsidRPr="000A6B0A" w:rsidRDefault="00795EF2" w:rsidP="00795EF2">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Use of running track points and junctions;</w:t>
      </w:r>
    </w:p>
    <w:p w:rsidR="003F250B" w:rsidRPr="000A6B0A" w:rsidRDefault="003F250B" w:rsidP="00E561FB">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Train control including </w:t>
      </w:r>
      <w:r w:rsidR="000A6B0A" w:rsidRPr="000A6B0A">
        <w:rPr>
          <w:rFonts w:asciiTheme="minorHAnsi" w:hAnsiTheme="minorHAnsi"/>
          <w:sz w:val="22"/>
          <w:szCs w:val="22"/>
          <w:lang w:val="en-GB"/>
        </w:rPr>
        <w:t>signalling</w:t>
      </w:r>
      <w:r w:rsidRPr="000A6B0A">
        <w:rPr>
          <w:rFonts w:asciiTheme="minorHAnsi" w:hAnsiTheme="minorHAnsi"/>
          <w:sz w:val="22"/>
          <w:szCs w:val="22"/>
          <w:lang w:val="en-GB"/>
        </w:rPr>
        <w:t xml:space="preserve"> regulation, dispatching and the communication and provision of information;</w:t>
      </w:r>
    </w:p>
    <w:p w:rsidR="00372A28" w:rsidRPr="000A6B0A" w:rsidRDefault="00372A28" w:rsidP="00E561FB">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Use of electrical supply equipment for traction current, where available;</w:t>
      </w:r>
    </w:p>
    <w:p w:rsidR="003F250B" w:rsidRPr="000A6B0A" w:rsidRDefault="003F250B" w:rsidP="00E561FB">
      <w:pPr>
        <w:numPr>
          <w:ilvl w:val="0"/>
          <w:numId w:val="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All other information required to implement or operate the service for which capacity has been granted.</w:t>
      </w:r>
    </w:p>
    <w:p w:rsidR="003F250B" w:rsidRPr="000A6B0A" w:rsidRDefault="003F250B" w:rsidP="00603222">
      <w:pPr>
        <w:spacing w:line="276" w:lineRule="auto"/>
        <w:rPr>
          <w:lang w:val="en-GB"/>
        </w:rPr>
      </w:pPr>
    </w:p>
    <w:p w:rsidR="001E3837" w:rsidRPr="000A6B0A" w:rsidRDefault="001E383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main charging principles laid down in Directive </w:t>
      </w:r>
      <w:r w:rsidR="00641986" w:rsidRPr="000A6B0A">
        <w:rPr>
          <w:rFonts w:asciiTheme="minorHAnsi" w:hAnsiTheme="minorHAnsi"/>
          <w:sz w:val="22"/>
          <w:szCs w:val="22"/>
          <w:lang w:val="en-GB"/>
        </w:rPr>
        <w:t xml:space="preserve">2012/34/EU </w:t>
      </w:r>
      <w:r w:rsidRPr="000A6B0A">
        <w:rPr>
          <w:rFonts w:asciiTheme="minorHAnsi" w:hAnsiTheme="minorHAnsi"/>
          <w:sz w:val="22"/>
          <w:szCs w:val="22"/>
          <w:lang w:val="en-GB"/>
        </w:rPr>
        <w:t>provide that:</w:t>
      </w:r>
    </w:p>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1E3837" w:rsidP="00E561FB">
      <w:pPr>
        <w:numPr>
          <w:ilvl w:val="0"/>
          <w:numId w:val="1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Charges for the use of rail infrastructure must be paid to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and be used to fund its </w:t>
      </w:r>
      <w:r w:rsidR="008C0E0E" w:rsidRPr="000A6B0A">
        <w:rPr>
          <w:rFonts w:asciiTheme="minorHAnsi" w:hAnsiTheme="minorHAnsi"/>
          <w:sz w:val="22"/>
          <w:szCs w:val="22"/>
          <w:lang w:val="en-GB"/>
        </w:rPr>
        <w:t>activities</w:t>
      </w:r>
      <w:r w:rsidR="00196324" w:rsidRPr="000A6B0A">
        <w:rPr>
          <w:rFonts w:asciiTheme="minorHAnsi" w:hAnsiTheme="minorHAnsi"/>
          <w:sz w:val="22"/>
          <w:szCs w:val="22"/>
          <w:lang w:val="en-GB"/>
        </w:rPr>
        <w:t xml:space="preserve"> (article 31</w:t>
      </w:r>
      <w:r w:rsidR="00372A28" w:rsidRPr="000A6B0A">
        <w:rPr>
          <w:rFonts w:asciiTheme="minorHAnsi" w:hAnsiTheme="minorHAnsi"/>
          <w:sz w:val="22"/>
          <w:szCs w:val="22"/>
          <w:lang w:val="en-GB"/>
        </w:rPr>
        <w:t>(</w:t>
      </w:r>
      <w:r w:rsidR="00196324" w:rsidRPr="000A6B0A">
        <w:rPr>
          <w:rFonts w:asciiTheme="minorHAnsi" w:hAnsiTheme="minorHAnsi"/>
          <w:sz w:val="22"/>
          <w:szCs w:val="22"/>
          <w:lang w:val="en-GB"/>
        </w:rPr>
        <w:t>1</w:t>
      </w:r>
      <w:r w:rsidR="00372A28" w:rsidRPr="000A6B0A">
        <w:rPr>
          <w:rFonts w:asciiTheme="minorHAnsi" w:hAnsiTheme="minorHAnsi"/>
          <w:sz w:val="22"/>
          <w:szCs w:val="22"/>
          <w:lang w:val="en-GB"/>
        </w:rPr>
        <w:t>)</w:t>
      </w:r>
      <w:r w:rsidR="00196324" w:rsidRPr="000A6B0A">
        <w:rPr>
          <w:rFonts w:asciiTheme="minorHAnsi" w:hAnsiTheme="minorHAnsi"/>
          <w:sz w:val="22"/>
          <w:szCs w:val="22"/>
          <w:lang w:val="en-GB"/>
        </w:rPr>
        <w:t xml:space="preserve"> of Directive 2012/34/EU)</w:t>
      </w:r>
      <w:r w:rsidRPr="000A6B0A">
        <w:rPr>
          <w:rFonts w:asciiTheme="minorHAnsi" w:hAnsiTheme="minorHAnsi"/>
          <w:sz w:val="22"/>
          <w:szCs w:val="22"/>
          <w:lang w:val="en-GB"/>
        </w:rPr>
        <w:t>;</w:t>
      </w:r>
    </w:p>
    <w:p w:rsidR="001E3837" w:rsidRPr="000A6B0A" w:rsidRDefault="0056475F" w:rsidP="00E561FB">
      <w:pPr>
        <w:numPr>
          <w:ilvl w:val="0"/>
          <w:numId w:val="12"/>
        </w:numPr>
        <w:spacing w:line="276" w:lineRule="auto"/>
        <w:jc w:val="both"/>
        <w:rPr>
          <w:rFonts w:asciiTheme="minorHAnsi" w:hAnsiTheme="minorHAnsi"/>
          <w:sz w:val="22"/>
          <w:szCs w:val="22"/>
          <w:lang w:val="en-GB"/>
        </w:rPr>
      </w:pPr>
      <w:r>
        <w:rPr>
          <w:rFonts w:asciiTheme="minorHAnsi" w:hAnsiTheme="minorHAnsi"/>
          <w:sz w:val="22"/>
          <w:szCs w:val="22"/>
          <w:lang w:val="en-GB"/>
        </w:rPr>
        <w:t>In the definition of charges, direct costs should be identified. In fact, Article 31(3) of the Directive 2012/34/EU states that “</w:t>
      </w:r>
      <w:r>
        <w:rPr>
          <w:rFonts w:asciiTheme="minorHAnsi" w:hAnsiTheme="minorHAnsi"/>
          <w:i/>
          <w:sz w:val="22"/>
          <w:szCs w:val="22"/>
          <w:lang w:val="en-GB"/>
        </w:rPr>
        <w:t>Without prejudice to paragraph 4 or 5 of this Article or to Article 32, the charges for the minimum access package and for access to infrastructure connecting service facilities shall be set at the</w:t>
      </w:r>
      <w:r w:rsidRPr="00C63CDD">
        <w:rPr>
          <w:lang w:val="en-GB"/>
        </w:rPr>
        <w:t xml:space="preserve"> </w:t>
      </w:r>
      <w:r>
        <w:rPr>
          <w:rFonts w:asciiTheme="minorHAnsi" w:hAnsiTheme="minorHAnsi"/>
          <w:i/>
          <w:sz w:val="22"/>
          <w:szCs w:val="22"/>
          <w:lang w:val="en-GB"/>
        </w:rPr>
        <w:t>cost that is directly incurred as a result of operating the train service”</w:t>
      </w:r>
      <w:r w:rsidR="001E3837" w:rsidRPr="000A6B0A">
        <w:rPr>
          <w:rFonts w:asciiTheme="minorHAnsi" w:hAnsiTheme="minorHAnsi"/>
          <w:sz w:val="22"/>
          <w:szCs w:val="22"/>
          <w:lang w:val="en-GB"/>
        </w:rPr>
        <w:t>. This principle applies to the minimum access package</w:t>
      </w:r>
      <w:r w:rsidR="00B72A0E" w:rsidRPr="000A6B0A">
        <w:rPr>
          <w:rFonts w:asciiTheme="minorHAnsi" w:hAnsiTheme="minorHAnsi"/>
          <w:sz w:val="22"/>
          <w:szCs w:val="22"/>
          <w:lang w:val="en-GB"/>
        </w:rPr>
        <w:t xml:space="preserve"> (the methodology for the calculation of the cost that is directly incurred is given by the European Commission </w:t>
      </w:r>
      <w:r w:rsidR="00DC105B" w:rsidRPr="000A6B0A">
        <w:rPr>
          <w:rFonts w:asciiTheme="minorHAnsi" w:hAnsiTheme="minorHAnsi"/>
          <w:sz w:val="22"/>
          <w:szCs w:val="22"/>
          <w:lang w:val="en-GB"/>
        </w:rPr>
        <w:t>R</w:t>
      </w:r>
      <w:r w:rsidR="003F250B" w:rsidRPr="000A6B0A">
        <w:rPr>
          <w:rFonts w:asciiTheme="minorHAnsi" w:hAnsiTheme="minorHAnsi"/>
          <w:sz w:val="22"/>
          <w:szCs w:val="22"/>
          <w:lang w:val="en-GB"/>
        </w:rPr>
        <w:t>egulation 2015/909 of June 201</w:t>
      </w:r>
      <w:r w:rsidR="00B72A0E" w:rsidRPr="000A6B0A">
        <w:rPr>
          <w:rFonts w:asciiTheme="minorHAnsi" w:hAnsiTheme="minorHAnsi"/>
          <w:sz w:val="22"/>
          <w:szCs w:val="22"/>
          <w:lang w:val="en-GB"/>
        </w:rPr>
        <w:t>5</w:t>
      </w:r>
      <w:r w:rsidR="008507A8" w:rsidRPr="000A6B0A">
        <w:rPr>
          <w:rFonts w:asciiTheme="minorHAnsi" w:hAnsiTheme="minorHAnsi"/>
          <w:sz w:val="22"/>
          <w:szCs w:val="22"/>
          <w:lang w:val="en-GB"/>
        </w:rPr>
        <w:t>. In November 2016, IRG-Rail issued a document presenting engineering and econometric methodologies which may be used to calculate direct costs</w:t>
      </w:r>
      <w:r w:rsidR="008507A8" w:rsidRPr="000A6B0A">
        <w:rPr>
          <w:rStyle w:val="Appelnotedebasdep"/>
          <w:rFonts w:asciiTheme="minorHAnsi" w:hAnsiTheme="minorHAnsi"/>
          <w:sz w:val="22"/>
          <w:szCs w:val="22"/>
          <w:lang w:val="en-GB"/>
        </w:rPr>
        <w:footnoteReference w:id="1"/>
      </w:r>
      <w:r w:rsidR="003F250B" w:rsidRPr="000A6B0A">
        <w:rPr>
          <w:rFonts w:asciiTheme="minorHAnsi" w:hAnsiTheme="minorHAnsi"/>
          <w:sz w:val="22"/>
          <w:szCs w:val="22"/>
          <w:lang w:val="en-GB"/>
        </w:rPr>
        <w:t>)</w:t>
      </w:r>
      <w:r w:rsidR="009064E5" w:rsidRPr="000A6B0A">
        <w:rPr>
          <w:rFonts w:asciiTheme="minorHAnsi" w:hAnsiTheme="minorHAnsi"/>
          <w:sz w:val="22"/>
          <w:szCs w:val="22"/>
          <w:lang w:val="en-GB"/>
        </w:rPr>
        <w:t>;</w:t>
      </w:r>
    </w:p>
    <w:p w:rsidR="00603222" w:rsidRPr="000A6B0A" w:rsidRDefault="001E3837" w:rsidP="00E561FB">
      <w:pPr>
        <w:numPr>
          <w:ilvl w:val="0"/>
          <w:numId w:val="1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There are exceptions to these charging principles </w:t>
      </w:r>
      <w:r w:rsidR="00603222" w:rsidRPr="000A6B0A">
        <w:rPr>
          <w:rFonts w:asciiTheme="minorHAnsi" w:hAnsiTheme="minorHAnsi"/>
          <w:sz w:val="22"/>
          <w:szCs w:val="22"/>
          <w:lang w:val="en-GB"/>
        </w:rPr>
        <w:t>:</w:t>
      </w:r>
    </w:p>
    <w:p w:rsidR="00603222" w:rsidRPr="000A6B0A" w:rsidRDefault="00BB705B" w:rsidP="00E561FB">
      <w:pPr>
        <w:numPr>
          <w:ilvl w:val="1"/>
          <w:numId w:val="1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order to obtain full recovery of costs, </w:t>
      </w:r>
      <w:r w:rsidR="009617E5" w:rsidRPr="000A6B0A">
        <w:rPr>
          <w:rFonts w:asciiTheme="minorHAnsi" w:hAnsiTheme="minorHAnsi"/>
          <w:sz w:val="22"/>
          <w:szCs w:val="22"/>
          <w:lang w:val="en-GB"/>
        </w:rPr>
        <w:t>IM</w:t>
      </w:r>
      <w:r w:rsidR="001E3837" w:rsidRPr="000A6B0A">
        <w:rPr>
          <w:rFonts w:asciiTheme="minorHAnsi" w:hAnsiTheme="minorHAnsi"/>
          <w:sz w:val="22"/>
          <w:szCs w:val="22"/>
          <w:lang w:val="en-GB"/>
        </w:rPr>
        <w:t xml:space="preserve">s are allowed to levy a mark-up if the market can bear </w:t>
      </w:r>
      <w:r w:rsidR="003F250B" w:rsidRPr="000A6B0A">
        <w:rPr>
          <w:rFonts w:asciiTheme="minorHAnsi" w:hAnsiTheme="minorHAnsi"/>
          <w:sz w:val="22"/>
          <w:szCs w:val="22"/>
          <w:lang w:val="en-GB"/>
        </w:rPr>
        <w:t>it</w:t>
      </w:r>
      <w:r w:rsidR="00291272" w:rsidRPr="000A6B0A">
        <w:rPr>
          <w:rFonts w:asciiTheme="minorHAnsi" w:hAnsiTheme="minorHAnsi"/>
          <w:sz w:val="22"/>
          <w:szCs w:val="22"/>
          <w:lang w:val="en-GB"/>
        </w:rPr>
        <w:t xml:space="preserve"> </w:t>
      </w:r>
      <w:r w:rsidR="00184D17" w:rsidRPr="000A6B0A">
        <w:rPr>
          <w:rFonts w:asciiTheme="minorHAnsi" w:hAnsiTheme="minorHAnsi"/>
          <w:sz w:val="22"/>
          <w:szCs w:val="22"/>
          <w:lang w:val="en-GB"/>
        </w:rPr>
        <w:t>and provided that market segments have been defined</w:t>
      </w:r>
      <w:r w:rsidR="00291272" w:rsidRPr="000A6B0A">
        <w:rPr>
          <w:rFonts w:asciiTheme="minorHAnsi" w:hAnsiTheme="minorHAnsi"/>
          <w:sz w:val="22"/>
          <w:szCs w:val="22"/>
          <w:lang w:val="en-GB"/>
        </w:rPr>
        <w:t xml:space="preserve"> (article 32</w:t>
      </w:r>
      <w:r w:rsidR="00F60D9A">
        <w:rPr>
          <w:rFonts w:asciiTheme="minorHAnsi" w:hAnsiTheme="minorHAnsi"/>
          <w:sz w:val="22"/>
          <w:szCs w:val="22"/>
          <w:lang w:val="en-GB"/>
        </w:rPr>
        <w:t>(</w:t>
      </w:r>
      <w:r w:rsidR="00291272" w:rsidRPr="000A6B0A">
        <w:rPr>
          <w:rFonts w:asciiTheme="minorHAnsi" w:hAnsiTheme="minorHAnsi"/>
          <w:sz w:val="22"/>
          <w:szCs w:val="22"/>
          <w:lang w:val="en-GB"/>
        </w:rPr>
        <w:t>1</w:t>
      </w:r>
      <w:r w:rsidR="00F60D9A">
        <w:rPr>
          <w:rFonts w:asciiTheme="minorHAnsi" w:hAnsiTheme="minorHAnsi"/>
          <w:sz w:val="22"/>
          <w:szCs w:val="22"/>
          <w:lang w:val="en-GB"/>
        </w:rPr>
        <w:t>)</w:t>
      </w:r>
      <w:r w:rsidR="00291272" w:rsidRPr="000A6B0A">
        <w:rPr>
          <w:rFonts w:asciiTheme="minorHAnsi" w:hAnsiTheme="minorHAnsi"/>
          <w:sz w:val="22"/>
          <w:szCs w:val="22"/>
          <w:lang w:val="en-GB"/>
        </w:rPr>
        <w:t xml:space="preserve"> of Directive 2012/34/EU)</w:t>
      </w:r>
      <w:r w:rsidR="003F250B" w:rsidRPr="000A6B0A">
        <w:rPr>
          <w:rFonts w:asciiTheme="minorHAnsi" w:hAnsiTheme="minorHAnsi"/>
          <w:sz w:val="22"/>
          <w:szCs w:val="22"/>
          <w:lang w:val="en-GB"/>
        </w:rPr>
        <w:t xml:space="preserve">. </w:t>
      </w:r>
      <w:r w:rsidR="00EC6287" w:rsidRPr="000A6B0A">
        <w:rPr>
          <w:rFonts w:asciiTheme="minorHAnsi" w:hAnsiTheme="minorHAnsi"/>
          <w:sz w:val="22"/>
          <w:szCs w:val="22"/>
          <w:lang w:val="en-GB"/>
        </w:rPr>
        <w:t>Under this exception, the level of charges must not exclude the use of infrastructure by market segments which can pay at least the cost that is directly incurred as a result of operating a railway service, plus a rate of return that the market can bear</w:t>
      </w:r>
      <w:r w:rsidR="00603222" w:rsidRPr="000A6B0A">
        <w:rPr>
          <w:rFonts w:asciiTheme="minorHAnsi" w:hAnsiTheme="minorHAnsi"/>
          <w:sz w:val="22"/>
          <w:szCs w:val="22"/>
          <w:lang w:val="en-GB"/>
        </w:rPr>
        <w:t>;</w:t>
      </w:r>
    </w:p>
    <w:p w:rsidR="00EC6287" w:rsidRPr="000A6B0A" w:rsidRDefault="00F60D9A" w:rsidP="00E561FB">
      <w:pPr>
        <w:numPr>
          <w:ilvl w:val="1"/>
          <w:numId w:val="12"/>
        </w:numPr>
        <w:spacing w:line="276" w:lineRule="auto"/>
        <w:jc w:val="both"/>
        <w:rPr>
          <w:rFonts w:asciiTheme="minorHAnsi" w:hAnsiTheme="minorHAnsi"/>
          <w:sz w:val="22"/>
          <w:szCs w:val="22"/>
          <w:lang w:val="en-GB"/>
        </w:rPr>
      </w:pPr>
      <w:r>
        <w:rPr>
          <w:rFonts w:asciiTheme="minorHAnsi" w:hAnsiTheme="minorHAnsi"/>
          <w:sz w:val="22"/>
          <w:szCs w:val="22"/>
          <w:lang w:val="en-GB"/>
        </w:rPr>
        <w:lastRenderedPageBreak/>
        <w:t>Additionally</w:t>
      </w:r>
      <w:r w:rsidR="00B72A0E" w:rsidRPr="000A6B0A">
        <w:rPr>
          <w:rFonts w:asciiTheme="minorHAnsi" w:hAnsiTheme="minorHAnsi"/>
          <w:sz w:val="22"/>
          <w:szCs w:val="22"/>
          <w:lang w:val="en-GB"/>
        </w:rPr>
        <w:t xml:space="preserve">, for specific future investment projects, or specific investment projects that have been completed after 1988, the </w:t>
      </w:r>
      <w:r w:rsidR="009617E5" w:rsidRPr="000A6B0A">
        <w:rPr>
          <w:rFonts w:asciiTheme="minorHAnsi" w:hAnsiTheme="minorHAnsi"/>
          <w:sz w:val="22"/>
          <w:szCs w:val="22"/>
          <w:lang w:val="en-GB"/>
        </w:rPr>
        <w:t>IM</w:t>
      </w:r>
      <w:r w:rsidR="00B72A0E" w:rsidRPr="000A6B0A">
        <w:rPr>
          <w:rFonts w:asciiTheme="minorHAnsi" w:hAnsiTheme="minorHAnsi"/>
          <w:sz w:val="22"/>
          <w:szCs w:val="22"/>
          <w:lang w:val="en-GB"/>
        </w:rPr>
        <w:t xml:space="preserve"> may set or continue to set higher charges on the basis of the long-term costs of such projects if they increase efficiency or cost-effectiveness or both and could not otherwise be or have been undertaken</w:t>
      </w:r>
      <w:r w:rsidR="00291272" w:rsidRPr="000A6B0A">
        <w:rPr>
          <w:rFonts w:asciiTheme="minorHAnsi" w:hAnsiTheme="minorHAnsi"/>
          <w:sz w:val="22"/>
          <w:szCs w:val="22"/>
          <w:lang w:val="en-GB"/>
        </w:rPr>
        <w:t xml:space="preserve"> (</w:t>
      </w:r>
      <w:r w:rsidR="0056475F">
        <w:rPr>
          <w:rFonts w:asciiTheme="minorHAnsi" w:hAnsiTheme="minorHAnsi"/>
          <w:sz w:val="22"/>
          <w:szCs w:val="22"/>
          <w:lang w:val="en-GB"/>
        </w:rPr>
        <w:t>A</w:t>
      </w:r>
      <w:r w:rsidR="00291272" w:rsidRPr="000A6B0A">
        <w:rPr>
          <w:rFonts w:asciiTheme="minorHAnsi" w:hAnsiTheme="minorHAnsi"/>
          <w:sz w:val="22"/>
          <w:szCs w:val="22"/>
          <w:lang w:val="en-GB"/>
        </w:rPr>
        <w:t>rticle 32</w:t>
      </w:r>
      <w:r w:rsidR="008507A8" w:rsidRPr="000A6B0A">
        <w:rPr>
          <w:rFonts w:asciiTheme="minorHAnsi" w:hAnsiTheme="minorHAnsi"/>
          <w:sz w:val="22"/>
          <w:szCs w:val="22"/>
          <w:lang w:val="en-GB"/>
        </w:rPr>
        <w:t>(</w:t>
      </w:r>
      <w:r w:rsidR="00291272" w:rsidRPr="000A6B0A">
        <w:rPr>
          <w:rFonts w:asciiTheme="minorHAnsi" w:hAnsiTheme="minorHAnsi"/>
          <w:sz w:val="22"/>
          <w:szCs w:val="22"/>
          <w:lang w:val="en-GB"/>
        </w:rPr>
        <w:t>3</w:t>
      </w:r>
      <w:r w:rsidR="008507A8" w:rsidRPr="000A6B0A">
        <w:rPr>
          <w:rFonts w:asciiTheme="minorHAnsi" w:hAnsiTheme="minorHAnsi"/>
          <w:sz w:val="22"/>
          <w:szCs w:val="22"/>
          <w:lang w:val="en-GB"/>
        </w:rPr>
        <w:t>)</w:t>
      </w:r>
      <w:r w:rsidR="00291272" w:rsidRPr="000A6B0A">
        <w:rPr>
          <w:rFonts w:asciiTheme="minorHAnsi" w:hAnsiTheme="minorHAnsi"/>
          <w:sz w:val="22"/>
          <w:szCs w:val="22"/>
          <w:lang w:val="en-GB"/>
        </w:rPr>
        <w:t xml:space="preserve"> of Directive 2012/34/EU).</w:t>
      </w:r>
    </w:p>
    <w:p w:rsidR="001E3837" w:rsidRPr="000A6B0A" w:rsidRDefault="001E3837" w:rsidP="00E561FB">
      <w:pPr>
        <w:numPr>
          <w:ilvl w:val="0"/>
          <w:numId w:val="1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Charges can also be levied to reflect scarcity of capacity of an identifiable segment of the infrastructure during periods of congestion </w:t>
      </w:r>
      <w:r w:rsidR="00F66D0D" w:rsidRPr="000A6B0A">
        <w:rPr>
          <w:rFonts w:asciiTheme="minorHAnsi" w:hAnsiTheme="minorHAnsi"/>
          <w:sz w:val="22"/>
          <w:szCs w:val="22"/>
          <w:lang w:val="en-GB"/>
        </w:rPr>
        <w:t>(</w:t>
      </w:r>
      <w:r w:rsidR="0056475F">
        <w:rPr>
          <w:rFonts w:asciiTheme="minorHAnsi" w:hAnsiTheme="minorHAnsi"/>
          <w:sz w:val="22"/>
          <w:szCs w:val="22"/>
          <w:lang w:val="en-GB"/>
        </w:rPr>
        <w:t>A</w:t>
      </w:r>
      <w:r w:rsidR="00F66D0D" w:rsidRPr="000A6B0A">
        <w:rPr>
          <w:rFonts w:asciiTheme="minorHAnsi" w:hAnsiTheme="minorHAnsi"/>
          <w:sz w:val="22"/>
          <w:szCs w:val="22"/>
          <w:lang w:val="en-GB"/>
        </w:rPr>
        <w:t>rticle 31</w:t>
      </w:r>
      <w:r w:rsidR="008507A8" w:rsidRPr="000A6B0A">
        <w:rPr>
          <w:rFonts w:asciiTheme="minorHAnsi" w:hAnsiTheme="minorHAnsi"/>
          <w:sz w:val="22"/>
          <w:szCs w:val="22"/>
          <w:lang w:val="en-GB"/>
        </w:rPr>
        <w:t>(</w:t>
      </w:r>
      <w:r w:rsidR="00F66D0D" w:rsidRPr="000A6B0A">
        <w:rPr>
          <w:rFonts w:asciiTheme="minorHAnsi" w:hAnsiTheme="minorHAnsi"/>
          <w:sz w:val="22"/>
          <w:szCs w:val="22"/>
          <w:lang w:val="en-GB"/>
        </w:rPr>
        <w:t>4</w:t>
      </w:r>
      <w:r w:rsidR="008507A8" w:rsidRPr="000A6B0A">
        <w:rPr>
          <w:rFonts w:asciiTheme="minorHAnsi" w:hAnsiTheme="minorHAnsi"/>
          <w:sz w:val="22"/>
          <w:szCs w:val="22"/>
          <w:lang w:val="en-GB"/>
        </w:rPr>
        <w:t>)</w:t>
      </w:r>
      <w:r w:rsidR="009559B9" w:rsidRPr="000A6B0A">
        <w:rPr>
          <w:rFonts w:asciiTheme="minorHAnsi" w:hAnsiTheme="minorHAnsi"/>
          <w:sz w:val="22"/>
          <w:szCs w:val="22"/>
          <w:lang w:val="en-GB"/>
        </w:rPr>
        <w:t xml:space="preserve"> of Directive 2012/34/EU) </w:t>
      </w:r>
      <w:r w:rsidRPr="000A6B0A">
        <w:rPr>
          <w:rFonts w:asciiTheme="minorHAnsi" w:hAnsiTheme="minorHAnsi"/>
          <w:sz w:val="22"/>
          <w:szCs w:val="22"/>
          <w:lang w:val="en-GB"/>
        </w:rPr>
        <w:t>or take account of environmental effects</w:t>
      </w:r>
      <w:r w:rsidR="009559B9" w:rsidRPr="000A6B0A">
        <w:rPr>
          <w:rFonts w:asciiTheme="minorHAnsi" w:hAnsiTheme="minorHAnsi"/>
          <w:sz w:val="22"/>
          <w:szCs w:val="22"/>
          <w:lang w:val="en-GB"/>
        </w:rPr>
        <w:t xml:space="preserve"> (</w:t>
      </w:r>
      <w:r w:rsidR="0056475F">
        <w:rPr>
          <w:rFonts w:asciiTheme="minorHAnsi" w:hAnsiTheme="minorHAnsi"/>
          <w:sz w:val="22"/>
          <w:szCs w:val="22"/>
          <w:lang w:val="en-GB"/>
        </w:rPr>
        <w:t>A</w:t>
      </w:r>
      <w:r w:rsidR="009559B9" w:rsidRPr="000A6B0A">
        <w:rPr>
          <w:rFonts w:asciiTheme="minorHAnsi" w:hAnsiTheme="minorHAnsi"/>
          <w:sz w:val="22"/>
          <w:szCs w:val="22"/>
          <w:lang w:val="en-GB"/>
        </w:rPr>
        <w:t>rticle 31</w:t>
      </w:r>
      <w:r w:rsidR="008507A8" w:rsidRPr="000A6B0A">
        <w:rPr>
          <w:rFonts w:asciiTheme="minorHAnsi" w:hAnsiTheme="minorHAnsi"/>
          <w:sz w:val="22"/>
          <w:szCs w:val="22"/>
          <w:lang w:val="en-GB"/>
        </w:rPr>
        <w:t>(</w:t>
      </w:r>
      <w:r w:rsidR="009559B9" w:rsidRPr="000A6B0A">
        <w:rPr>
          <w:rFonts w:asciiTheme="minorHAnsi" w:hAnsiTheme="minorHAnsi"/>
          <w:sz w:val="22"/>
          <w:szCs w:val="22"/>
          <w:lang w:val="en-GB"/>
        </w:rPr>
        <w:t>5</w:t>
      </w:r>
      <w:r w:rsidR="008507A8" w:rsidRPr="000A6B0A">
        <w:rPr>
          <w:rFonts w:asciiTheme="minorHAnsi" w:hAnsiTheme="minorHAnsi"/>
          <w:sz w:val="22"/>
          <w:szCs w:val="22"/>
          <w:lang w:val="en-GB"/>
        </w:rPr>
        <w:t>)</w:t>
      </w:r>
      <w:r w:rsidR="009559B9" w:rsidRPr="000A6B0A">
        <w:rPr>
          <w:rFonts w:asciiTheme="minorHAnsi" w:hAnsiTheme="minorHAnsi"/>
          <w:sz w:val="22"/>
          <w:szCs w:val="22"/>
          <w:lang w:val="en-GB"/>
        </w:rPr>
        <w:t xml:space="preserve"> of Directive 2012/34/EU)</w:t>
      </w:r>
      <w:r w:rsidRPr="000A6B0A">
        <w:rPr>
          <w:rFonts w:asciiTheme="minorHAnsi" w:hAnsiTheme="minorHAnsi"/>
          <w:sz w:val="22"/>
          <w:szCs w:val="22"/>
          <w:lang w:val="en-GB"/>
        </w:rPr>
        <w:t>;</w:t>
      </w:r>
    </w:p>
    <w:p w:rsidR="008E31A9" w:rsidRPr="000A6B0A" w:rsidRDefault="008E31A9" w:rsidP="00E561FB">
      <w:pPr>
        <w:numPr>
          <w:ilvl w:val="0"/>
          <w:numId w:val="12"/>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Infrastructure charging schemes </w:t>
      </w:r>
      <w:r w:rsidR="008C0E0E" w:rsidRPr="000A6B0A">
        <w:rPr>
          <w:rFonts w:asciiTheme="minorHAnsi" w:hAnsiTheme="minorHAnsi"/>
          <w:sz w:val="22"/>
          <w:szCs w:val="22"/>
          <w:lang w:val="en-GB"/>
        </w:rPr>
        <w:t xml:space="preserve">must </w:t>
      </w:r>
      <w:r w:rsidRPr="000A6B0A">
        <w:rPr>
          <w:rFonts w:asciiTheme="minorHAnsi" w:hAnsiTheme="minorHAnsi"/>
          <w:sz w:val="22"/>
          <w:szCs w:val="22"/>
          <w:lang w:val="en-GB"/>
        </w:rPr>
        <w:t xml:space="preserve">also encourage railway undertakings and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to minimise disruption and improve the performance of the railway network through a performance scheme</w:t>
      </w:r>
      <w:r w:rsidR="00196324" w:rsidRPr="000A6B0A">
        <w:rPr>
          <w:rFonts w:asciiTheme="minorHAnsi" w:hAnsiTheme="minorHAnsi"/>
          <w:sz w:val="22"/>
          <w:szCs w:val="22"/>
          <w:lang w:val="en-GB"/>
        </w:rPr>
        <w:t xml:space="preserve"> (</w:t>
      </w:r>
      <w:r w:rsidR="0056475F">
        <w:rPr>
          <w:rFonts w:asciiTheme="minorHAnsi" w:hAnsiTheme="minorHAnsi"/>
          <w:sz w:val="22"/>
          <w:szCs w:val="22"/>
          <w:lang w:val="en-GB"/>
        </w:rPr>
        <w:t>A</w:t>
      </w:r>
      <w:r w:rsidR="00196324" w:rsidRPr="000A6B0A">
        <w:rPr>
          <w:rFonts w:asciiTheme="minorHAnsi" w:hAnsiTheme="minorHAnsi"/>
          <w:sz w:val="22"/>
          <w:szCs w:val="22"/>
          <w:lang w:val="en-GB"/>
        </w:rPr>
        <w:t>rticle 35 of directive 2012/34/EU)</w:t>
      </w:r>
      <w:r w:rsidR="008C0E0E" w:rsidRPr="000A6B0A">
        <w:rPr>
          <w:rFonts w:asciiTheme="minorHAnsi" w:hAnsiTheme="minorHAnsi"/>
          <w:sz w:val="22"/>
          <w:szCs w:val="22"/>
          <w:lang w:val="en-GB"/>
        </w:rPr>
        <w:t>.</w:t>
      </w:r>
    </w:p>
    <w:p w:rsidR="001E3837" w:rsidRPr="000A6B0A" w:rsidRDefault="001E3837" w:rsidP="00603222">
      <w:pPr>
        <w:spacing w:line="276" w:lineRule="auto"/>
        <w:ind w:left="720"/>
        <w:jc w:val="both"/>
        <w:rPr>
          <w:rFonts w:asciiTheme="minorHAnsi" w:hAnsiTheme="minorHAnsi"/>
          <w:sz w:val="22"/>
          <w:szCs w:val="22"/>
          <w:lang w:val="en-GB"/>
        </w:rPr>
      </w:pPr>
    </w:p>
    <w:p w:rsidR="003F250B" w:rsidRPr="000A6B0A" w:rsidRDefault="003F250B"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table below (compiled by the working group) provides an overview of </w:t>
      </w:r>
      <w:r w:rsidR="007359A7">
        <w:rPr>
          <w:rFonts w:asciiTheme="minorHAnsi" w:hAnsiTheme="minorHAnsi"/>
          <w:sz w:val="22"/>
          <w:szCs w:val="22"/>
          <w:lang w:val="en-GB"/>
        </w:rPr>
        <w:t xml:space="preserve">the </w:t>
      </w:r>
      <w:r w:rsidRPr="000A6B0A">
        <w:rPr>
          <w:rFonts w:asciiTheme="minorHAnsi" w:hAnsiTheme="minorHAnsi"/>
          <w:sz w:val="22"/>
          <w:szCs w:val="22"/>
          <w:lang w:val="en-GB"/>
        </w:rPr>
        <w:t xml:space="preserve">application of charges for the minimum access package </w:t>
      </w:r>
      <w:r w:rsidR="007359A7">
        <w:rPr>
          <w:rFonts w:asciiTheme="minorHAnsi" w:hAnsiTheme="minorHAnsi"/>
          <w:sz w:val="22"/>
          <w:szCs w:val="22"/>
          <w:lang w:val="en-GB"/>
        </w:rPr>
        <w:t>of</w:t>
      </w:r>
      <w:r w:rsidR="007359A7"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IRG-Rail members. The table is based on the assessment of charging practices in countries detailed in </w:t>
      </w:r>
      <w:r w:rsidR="007359A7">
        <w:rPr>
          <w:rFonts w:asciiTheme="minorHAnsi" w:hAnsiTheme="minorHAnsi"/>
          <w:sz w:val="22"/>
          <w:szCs w:val="22"/>
          <w:lang w:val="en-GB"/>
        </w:rPr>
        <w:t>the A</w:t>
      </w:r>
      <w:r w:rsidRPr="000A6B0A">
        <w:rPr>
          <w:rFonts w:asciiTheme="minorHAnsi" w:hAnsiTheme="minorHAnsi"/>
          <w:sz w:val="22"/>
          <w:szCs w:val="22"/>
          <w:lang w:val="en-GB"/>
        </w:rPr>
        <w:t>nnex</w:t>
      </w:r>
      <w:r w:rsidR="007359A7">
        <w:rPr>
          <w:rFonts w:asciiTheme="minorHAnsi" w:hAnsiTheme="minorHAnsi"/>
          <w:sz w:val="22"/>
          <w:szCs w:val="22"/>
          <w:lang w:val="en-GB"/>
        </w:rPr>
        <w:t>es</w:t>
      </w:r>
      <w:r w:rsidRPr="000A6B0A">
        <w:rPr>
          <w:rStyle w:val="Appelnotedebasdep"/>
          <w:rFonts w:asciiTheme="minorHAnsi" w:hAnsiTheme="minorHAnsi" w:cs="Arial"/>
          <w:sz w:val="22"/>
          <w:szCs w:val="22"/>
          <w:lang w:val="en-GB"/>
        </w:rPr>
        <w:footnoteReference w:id="2"/>
      </w:r>
      <w:r w:rsidRPr="000A6B0A">
        <w:rPr>
          <w:rFonts w:asciiTheme="minorHAnsi" w:hAnsiTheme="minorHAnsi"/>
          <w:sz w:val="22"/>
          <w:szCs w:val="22"/>
          <w:lang w:val="en-GB"/>
        </w:rPr>
        <w:t xml:space="preserve">. </w:t>
      </w:r>
      <w:r w:rsidR="00BB705B" w:rsidRPr="000A6B0A">
        <w:rPr>
          <w:rFonts w:asciiTheme="minorHAnsi" w:hAnsiTheme="minorHAnsi"/>
          <w:sz w:val="22"/>
          <w:szCs w:val="22"/>
          <w:lang w:val="en-GB"/>
        </w:rPr>
        <w:t xml:space="preserve">It does not represent the full regulatory framework </w:t>
      </w:r>
      <w:r w:rsidR="007359A7">
        <w:rPr>
          <w:rFonts w:asciiTheme="minorHAnsi" w:hAnsiTheme="minorHAnsi"/>
          <w:sz w:val="22"/>
          <w:szCs w:val="22"/>
          <w:lang w:val="en-GB"/>
        </w:rPr>
        <w:t>of</w:t>
      </w:r>
      <w:r w:rsidR="007359A7" w:rsidRPr="000A6B0A">
        <w:rPr>
          <w:rFonts w:asciiTheme="minorHAnsi" w:hAnsiTheme="minorHAnsi"/>
          <w:sz w:val="22"/>
          <w:szCs w:val="22"/>
          <w:lang w:val="en-GB"/>
        </w:rPr>
        <w:t xml:space="preserve"> </w:t>
      </w:r>
      <w:r w:rsidR="00BB705B" w:rsidRPr="000A6B0A">
        <w:rPr>
          <w:rFonts w:asciiTheme="minorHAnsi" w:hAnsiTheme="minorHAnsi"/>
          <w:sz w:val="22"/>
          <w:szCs w:val="22"/>
          <w:lang w:val="en-GB"/>
        </w:rPr>
        <w:t>each country</w:t>
      </w:r>
      <w:r w:rsidR="00F45F05">
        <w:rPr>
          <w:rFonts w:asciiTheme="minorHAnsi" w:hAnsiTheme="minorHAnsi"/>
          <w:sz w:val="22"/>
          <w:szCs w:val="22"/>
          <w:lang w:val="en-GB"/>
        </w:rPr>
        <w:t xml:space="preserve"> as a</w:t>
      </w:r>
      <w:r w:rsidR="00F45F05" w:rsidRPr="00F45F05">
        <w:rPr>
          <w:rFonts w:asciiTheme="minorHAnsi" w:hAnsiTheme="minorHAnsi"/>
          <w:sz w:val="22"/>
          <w:szCs w:val="22"/>
          <w:lang w:val="en-GB"/>
        </w:rPr>
        <w:t xml:space="preserve"> regulatory framework may allow different solutions/options that th</w:t>
      </w:r>
      <w:r w:rsidR="00F45F05">
        <w:rPr>
          <w:rFonts w:asciiTheme="minorHAnsi" w:hAnsiTheme="minorHAnsi"/>
          <w:sz w:val="22"/>
          <w:szCs w:val="22"/>
          <w:lang w:val="en-GB"/>
        </w:rPr>
        <w:t>e IM does not necessarily adopt</w:t>
      </w:r>
      <w:r w:rsidR="00BB705B" w:rsidRPr="000A6B0A">
        <w:rPr>
          <w:rFonts w:asciiTheme="minorHAnsi" w:hAnsiTheme="minorHAnsi"/>
          <w:sz w:val="22"/>
          <w:szCs w:val="22"/>
          <w:lang w:val="en-GB"/>
        </w:rPr>
        <w:t xml:space="preserve">. </w:t>
      </w:r>
      <w:r w:rsidR="00C80C2E" w:rsidRPr="000A6B0A">
        <w:rPr>
          <w:rFonts w:asciiTheme="minorHAnsi" w:hAnsiTheme="minorHAnsi"/>
          <w:sz w:val="22"/>
          <w:szCs w:val="22"/>
          <w:lang w:val="en-GB"/>
        </w:rPr>
        <w:t>It provides</w:t>
      </w:r>
      <w:r w:rsidRPr="000A6B0A">
        <w:rPr>
          <w:rFonts w:asciiTheme="minorHAnsi" w:hAnsiTheme="minorHAnsi"/>
          <w:sz w:val="22"/>
          <w:szCs w:val="22"/>
          <w:lang w:val="en-GB"/>
        </w:rPr>
        <w:t xml:space="preserve"> information on the following charging characteristics:  </w:t>
      </w:r>
    </w:p>
    <w:p w:rsidR="003F250B" w:rsidRPr="000A6B0A" w:rsidRDefault="003F250B" w:rsidP="00603222">
      <w:pPr>
        <w:spacing w:line="276" w:lineRule="auto"/>
        <w:jc w:val="both"/>
        <w:rPr>
          <w:rFonts w:asciiTheme="minorHAnsi" w:hAnsiTheme="minorHAnsi"/>
          <w:sz w:val="22"/>
          <w:szCs w:val="22"/>
          <w:lang w:val="en-GB"/>
        </w:rPr>
      </w:pPr>
    </w:p>
    <w:p w:rsidR="003F250B" w:rsidRPr="000A6B0A" w:rsidRDefault="00C80C2E" w:rsidP="00E561FB">
      <w:pPr>
        <w:pStyle w:val="Paragraphedeliste"/>
        <w:numPr>
          <w:ilvl w:val="0"/>
          <w:numId w:val="26"/>
        </w:numPr>
        <w:spacing w:line="276" w:lineRule="auto"/>
        <w:jc w:val="both"/>
        <w:rPr>
          <w:rFonts w:asciiTheme="minorHAnsi" w:hAnsiTheme="minorHAnsi"/>
          <w:sz w:val="22"/>
          <w:szCs w:val="22"/>
          <w:lang w:val="en-GB"/>
        </w:rPr>
      </w:pPr>
      <w:r w:rsidRPr="000A6B0A">
        <w:rPr>
          <w:rFonts w:asciiTheme="minorHAnsi" w:hAnsiTheme="minorHAnsi"/>
          <w:b/>
          <w:sz w:val="22"/>
          <w:szCs w:val="22"/>
          <w:lang w:val="en-GB"/>
        </w:rPr>
        <w:t>Charge(s) reflecting direct c</w:t>
      </w:r>
      <w:r w:rsidR="00DC105B" w:rsidRPr="000A6B0A">
        <w:rPr>
          <w:rFonts w:asciiTheme="minorHAnsi" w:hAnsiTheme="minorHAnsi"/>
          <w:b/>
          <w:sz w:val="22"/>
          <w:szCs w:val="22"/>
          <w:lang w:val="en-GB"/>
        </w:rPr>
        <w:t xml:space="preserve">osts according </w:t>
      </w:r>
      <w:r w:rsidR="002123F8">
        <w:rPr>
          <w:rFonts w:asciiTheme="minorHAnsi" w:hAnsiTheme="minorHAnsi"/>
          <w:b/>
          <w:sz w:val="22"/>
          <w:szCs w:val="22"/>
          <w:lang w:val="en-GB"/>
        </w:rPr>
        <w:t xml:space="preserve">to </w:t>
      </w:r>
      <w:r w:rsidR="00DC105B" w:rsidRPr="000A6B0A">
        <w:rPr>
          <w:rFonts w:asciiTheme="minorHAnsi" w:hAnsiTheme="minorHAnsi"/>
          <w:b/>
          <w:sz w:val="22"/>
          <w:szCs w:val="22"/>
          <w:lang w:val="en-GB"/>
        </w:rPr>
        <w:t>article 31</w:t>
      </w:r>
      <w:r w:rsidR="008507A8" w:rsidRPr="000A6B0A">
        <w:rPr>
          <w:rFonts w:asciiTheme="minorHAnsi" w:hAnsiTheme="minorHAnsi"/>
          <w:b/>
          <w:sz w:val="22"/>
          <w:szCs w:val="22"/>
          <w:lang w:val="en-GB"/>
        </w:rPr>
        <w:t>(</w:t>
      </w:r>
      <w:r w:rsidR="00DC105B" w:rsidRPr="000A6B0A">
        <w:rPr>
          <w:rFonts w:asciiTheme="minorHAnsi" w:hAnsiTheme="minorHAnsi"/>
          <w:b/>
          <w:sz w:val="22"/>
          <w:szCs w:val="22"/>
          <w:lang w:val="en-GB"/>
        </w:rPr>
        <w:t>3</w:t>
      </w:r>
      <w:r w:rsidR="008507A8" w:rsidRPr="000A6B0A">
        <w:rPr>
          <w:rFonts w:asciiTheme="minorHAnsi" w:hAnsiTheme="minorHAnsi"/>
          <w:b/>
          <w:sz w:val="22"/>
          <w:szCs w:val="22"/>
          <w:lang w:val="en-GB"/>
        </w:rPr>
        <w:t>)</w:t>
      </w:r>
      <w:r w:rsidR="00DC105B" w:rsidRPr="000A6B0A">
        <w:rPr>
          <w:rFonts w:asciiTheme="minorHAnsi" w:hAnsiTheme="minorHAnsi"/>
          <w:b/>
          <w:sz w:val="22"/>
          <w:szCs w:val="22"/>
          <w:lang w:val="en-GB"/>
        </w:rPr>
        <w:t xml:space="preserve"> of D</w:t>
      </w:r>
      <w:r w:rsidRPr="000A6B0A">
        <w:rPr>
          <w:rFonts w:asciiTheme="minorHAnsi" w:hAnsiTheme="minorHAnsi"/>
          <w:b/>
          <w:sz w:val="22"/>
          <w:szCs w:val="22"/>
          <w:lang w:val="en-GB"/>
        </w:rPr>
        <w:t>irective 2012/34/EU</w:t>
      </w:r>
      <w:r w:rsidRPr="000A6B0A">
        <w:rPr>
          <w:rFonts w:asciiTheme="minorHAnsi" w:hAnsiTheme="minorHAnsi"/>
          <w:sz w:val="22"/>
          <w:szCs w:val="22"/>
          <w:lang w:val="en-GB"/>
        </w:rPr>
        <w:t xml:space="preserve"> : “[w]</w:t>
      </w:r>
      <w:r w:rsidRPr="000A6B0A">
        <w:rPr>
          <w:rFonts w:asciiTheme="minorHAnsi" w:hAnsiTheme="minorHAnsi"/>
          <w:i/>
          <w:sz w:val="22"/>
          <w:szCs w:val="22"/>
          <w:lang w:val="en-GB"/>
        </w:rPr>
        <w:t>ithout prejudice to paragraph 4 or 5 of this Article or</w:t>
      </w:r>
      <w:r w:rsidR="00ED5B84" w:rsidRPr="000A6B0A">
        <w:rPr>
          <w:rFonts w:asciiTheme="minorHAnsi" w:hAnsiTheme="minorHAnsi"/>
          <w:i/>
          <w:sz w:val="22"/>
          <w:szCs w:val="22"/>
          <w:lang w:val="en-GB"/>
        </w:rPr>
        <w:t xml:space="preserve"> </w:t>
      </w:r>
      <w:r w:rsidRPr="000A6B0A">
        <w:rPr>
          <w:rFonts w:asciiTheme="minorHAnsi" w:hAnsiTheme="minorHAnsi"/>
          <w:i/>
          <w:sz w:val="22"/>
          <w:szCs w:val="22"/>
          <w:lang w:val="en-GB"/>
        </w:rPr>
        <w:t>to Article 32, the charges for the minimum access package and for access to infrastructure connecting service facilities shall be set at the cost that is directly incurred as a result of operating the train service</w:t>
      </w:r>
      <w:r w:rsidRPr="000A6B0A">
        <w:rPr>
          <w:rFonts w:asciiTheme="minorHAnsi" w:hAnsiTheme="minorHAnsi"/>
          <w:sz w:val="22"/>
          <w:szCs w:val="22"/>
          <w:lang w:val="en-GB"/>
        </w:rPr>
        <w:t>”</w:t>
      </w:r>
      <w:r w:rsidR="00ED5B84" w:rsidRPr="000A6B0A">
        <w:rPr>
          <w:rFonts w:asciiTheme="minorHAnsi" w:hAnsiTheme="minorHAnsi"/>
          <w:sz w:val="22"/>
          <w:szCs w:val="22"/>
          <w:lang w:val="en-GB"/>
        </w:rPr>
        <w:t>;</w:t>
      </w:r>
    </w:p>
    <w:p w:rsidR="00C80C2E" w:rsidRPr="000A6B0A" w:rsidRDefault="00C80C2E" w:rsidP="00603222">
      <w:pPr>
        <w:pStyle w:val="Paragraphedeliste"/>
        <w:spacing w:line="276" w:lineRule="auto"/>
        <w:jc w:val="both"/>
        <w:rPr>
          <w:rFonts w:asciiTheme="minorHAnsi" w:hAnsiTheme="minorHAnsi"/>
          <w:sz w:val="22"/>
          <w:szCs w:val="22"/>
          <w:lang w:val="en-GB"/>
        </w:rPr>
      </w:pPr>
    </w:p>
    <w:p w:rsidR="00C80C2E" w:rsidRPr="000A6B0A" w:rsidRDefault="00C80C2E" w:rsidP="00E561FB">
      <w:pPr>
        <w:pStyle w:val="Paragraphedeliste"/>
        <w:numPr>
          <w:ilvl w:val="0"/>
          <w:numId w:val="26"/>
        </w:numPr>
        <w:spacing w:line="276" w:lineRule="auto"/>
        <w:jc w:val="both"/>
        <w:rPr>
          <w:rFonts w:asciiTheme="minorHAnsi" w:hAnsiTheme="minorHAnsi"/>
          <w:i/>
          <w:sz w:val="22"/>
          <w:szCs w:val="22"/>
          <w:lang w:val="en-GB"/>
        </w:rPr>
      </w:pPr>
      <w:r w:rsidRPr="000A6B0A">
        <w:rPr>
          <w:rFonts w:asciiTheme="minorHAnsi" w:hAnsiTheme="minorHAnsi"/>
          <w:b/>
          <w:sz w:val="22"/>
          <w:szCs w:val="22"/>
          <w:lang w:val="en-GB"/>
        </w:rPr>
        <w:t>Mark-ups and market segmenta</w:t>
      </w:r>
      <w:r w:rsidR="00DC105B" w:rsidRPr="000A6B0A">
        <w:rPr>
          <w:rFonts w:asciiTheme="minorHAnsi" w:hAnsiTheme="minorHAnsi"/>
          <w:b/>
          <w:sz w:val="22"/>
          <w:szCs w:val="22"/>
          <w:lang w:val="en-GB"/>
        </w:rPr>
        <w:t xml:space="preserve">tion according </w:t>
      </w:r>
      <w:r w:rsidR="002123F8">
        <w:rPr>
          <w:rFonts w:asciiTheme="minorHAnsi" w:hAnsiTheme="minorHAnsi"/>
          <w:b/>
          <w:sz w:val="22"/>
          <w:szCs w:val="22"/>
          <w:lang w:val="en-GB"/>
        </w:rPr>
        <w:t xml:space="preserve">to </w:t>
      </w:r>
      <w:r w:rsidR="00DC105B" w:rsidRPr="000A6B0A">
        <w:rPr>
          <w:rFonts w:asciiTheme="minorHAnsi" w:hAnsiTheme="minorHAnsi"/>
          <w:b/>
          <w:sz w:val="22"/>
          <w:szCs w:val="22"/>
          <w:lang w:val="en-GB"/>
        </w:rPr>
        <w:t>article 32</w:t>
      </w:r>
      <w:r w:rsidR="008507A8" w:rsidRPr="000A6B0A">
        <w:rPr>
          <w:rFonts w:asciiTheme="minorHAnsi" w:hAnsiTheme="minorHAnsi"/>
          <w:b/>
          <w:sz w:val="22"/>
          <w:szCs w:val="22"/>
          <w:lang w:val="en-GB"/>
        </w:rPr>
        <w:t>(</w:t>
      </w:r>
      <w:r w:rsidR="00DC105B" w:rsidRPr="000A6B0A">
        <w:rPr>
          <w:rFonts w:asciiTheme="minorHAnsi" w:hAnsiTheme="minorHAnsi"/>
          <w:b/>
          <w:sz w:val="22"/>
          <w:szCs w:val="22"/>
          <w:lang w:val="en-GB"/>
        </w:rPr>
        <w:t>1</w:t>
      </w:r>
      <w:r w:rsidR="008507A8" w:rsidRPr="000A6B0A">
        <w:rPr>
          <w:rFonts w:asciiTheme="minorHAnsi" w:hAnsiTheme="minorHAnsi"/>
          <w:b/>
          <w:sz w:val="22"/>
          <w:szCs w:val="22"/>
          <w:lang w:val="en-GB"/>
        </w:rPr>
        <w:t>)</w:t>
      </w:r>
      <w:r w:rsidR="00DC105B" w:rsidRPr="000A6B0A">
        <w:rPr>
          <w:rFonts w:asciiTheme="minorHAnsi" w:hAnsiTheme="minorHAnsi"/>
          <w:b/>
          <w:sz w:val="22"/>
          <w:szCs w:val="22"/>
          <w:lang w:val="en-GB"/>
        </w:rPr>
        <w:t xml:space="preserve"> of D</w:t>
      </w:r>
      <w:r w:rsidRPr="000A6B0A">
        <w:rPr>
          <w:rFonts w:asciiTheme="minorHAnsi" w:hAnsiTheme="minorHAnsi"/>
          <w:b/>
          <w:sz w:val="22"/>
          <w:szCs w:val="22"/>
          <w:lang w:val="en-GB"/>
        </w:rPr>
        <w:t>irective 2012/34/EU</w:t>
      </w:r>
      <w:r w:rsidRPr="000A6B0A">
        <w:rPr>
          <w:rFonts w:asciiTheme="minorHAnsi" w:hAnsiTheme="minorHAnsi"/>
          <w:sz w:val="22"/>
          <w:szCs w:val="22"/>
          <w:lang w:val="en-GB"/>
        </w:rPr>
        <w:t xml:space="preserve"> : “[i]</w:t>
      </w:r>
      <w:r w:rsidRPr="000A6B0A">
        <w:rPr>
          <w:rFonts w:asciiTheme="minorHAnsi" w:hAnsiTheme="minorHAnsi"/>
          <w:i/>
          <w:sz w:val="22"/>
          <w:szCs w:val="22"/>
          <w:lang w:val="en-GB"/>
        </w:rPr>
        <w:t>n order to obtain full recovery of the costs incurred by the infrastructure manager a Member State may, if the market can bear this, levy mark-ups on the basis of efficient, transparent and non-discriminatory principles, while guaranteeing optimal competitiveness of rail market segments. The charging system shall respect the productivity increases achieved by railway undertakings”</w:t>
      </w:r>
      <w:r w:rsidR="008C0E0E" w:rsidRPr="000A6B0A">
        <w:rPr>
          <w:rFonts w:asciiTheme="minorHAnsi" w:hAnsiTheme="minorHAnsi"/>
          <w:sz w:val="22"/>
          <w:szCs w:val="22"/>
          <w:lang w:val="en-GB"/>
        </w:rPr>
        <w:t>;</w:t>
      </w:r>
    </w:p>
    <w:p w:rsidR="00C80C2E" w:rsidRPr="000A6B0A" w:rsidRDefault="00C80C2E" w:rsidP="00603222">
      <w:pPr>
        <w:spacing w:line="276" w:lineRule="auto"/>
        <w:jc w:val="both"/>
        <w:rPr>
          <w:rFonts w:asciiTheme="minorHAnsi" w:hAnsiTheme="minorHAnsi"/>
          <w:i/>
          <w:sz w:val="22"/>
          <w:szCs w:val="22"/>
          <w:lang w:val="en-GB"/>
        </w:rPr>
      </w:pPr>
    </w:p>
    <w:p w:rsidR="00ED5B84" w:rsidRPr="000A6B0A" w:rsidRDefault="00ED5B84" w:rsidP="00E561FB">
      <w:pPr>
        <w:pStyle w:val="Paragraphedeliste"/>
        <w:numPr>
          <w:ilvl w:val="0"/>
          <w:numId w:val="26"/>
        </w:numPr>
        <w:spacing w:line="276" w:lineRule="auto"/>
        <w:jc w:val="both"/>
        <w:rPr>
          <w:rFonts w:asciiTheme="minorHAnsi" w:hAnsiTheme="minorHAnsi"/>
          <w:i/>
          <w:sz w:val="22"/>
          <w:szCs w:val="22"/>
          <w:lang w:val="en-GB"/>
        </w:rPr>
      </w:pPr>
      <w:r w:rsidRPr="000A6B0A">
        <w:rPr>
          <w:rFonts w:asciiTheme="minorHAnsi" w:hAnsiTheme="minorHAnsi"/>
          <w:b/>
          <w:sz w:val="22"/>
          <w:szCs w:val="22"/>
          <w:lang w:val="en-GB"/>
        </w:rPr>
        <w:t xml:space="preserve">Annual prices: </w:t>
      </w:r>
      <w:r w:rsidRPr="000A6B0A">
        <w:rPr>
          <w:rFonts w:asciiTheme="minorHAnsi" w:hAnsiTheme="minorHAnsi"/>
          <w:sz w:val="22"/>
          <w:szCs w:val="22"/>
          <w:lang w:val="en-GB"/>
        </w:rPr>
        <w:t xml:space="preserve">the table indicates whether charges </w:t>
      </w:r>
      <w:r w:rsidR="00603222" w:rsidRPr="000A6B0A">
        <w:rPr>
          <w:rFonts w:asciiTheme="minorHAnsi" w:hAnsiTheme="minorHAnsi"/>
          <w:sz w:val="22"/>
          <w:szCs w:val="22"/>
          <w:lang w:val="en-GB"/>
        </w:rPr>
        <w:t xml:space="preserve">are set </w:t>
      </w:r>
      <w:r w:rsidRPr="000A6B0A">
        <w:rPr>
          <w:rFonts w:asciiTheme="minorHAnsi" w:hAnsiTheme="minorHAnsi"/>
          <w:sz w:val="22"/>
          <w:szCs w:val="22"/>
          <w:lang w:val="en-GB"/>
        </w:rPr>
        <w:t>every year or not ;</w:t>
      </w:r>
    </w:p>
    <w:p w:rsidR="00ED5B84" w:rsidRPr="000A6B0A" w:rsidRDefault="00ED5B84" w:rsidP="00603222">
      <w:pPr>
        <w:pStyle w:val="Paragraphedeliste"/>
        <w:spacing w:line="276" w:lineRule="auto"/>
        <w:rPr>
          <w:rFonts w:asciiTheme="minorHAnsi" w:hAnsiTheme="minorHAnsi"/>
          <w:sz w:val="22"/>
          <w:szCs w:val="22"/>
          <w:lang w:val="en-GB"/>
        </w:rPr>
      </w:pPr>
    </w:p>
    <w:p w:rsidR="00C80C2E" w:rsidRPr="000A6B0A" w:rsidRDefault="00ED5B84" w:rsidP="00E561FB">
      <w:pPr>
        <w:pStyle w:val="Paragraphedeliste"/>
        <w:numPr>
          <w:ilvl w:val="0"/>
          <w:numId w:val="26"/>
        </w:numPr>
        <w:spacing w:line="276" w:lineRule="auto"/>
        <w:jc w:val="both"/>
        <w:rPr>
          <w:rFonts w:asciiTheme="minorHAnsi" w:hAnsiTheme="minorHAnsi"/>
          <w:b/>
          <w:i/>
          <w:sz w:val="22"/>
          <w:szCs w:val="22"/>
          <w:lang w:val="en-GB"/>
        </w:rPr>
      </w:pPr>
      <w:r w:rsidRPr="000A6B0A">
        <w:rPr>
          <w:rFonts w:asciiTheme="minorHAnsi" w:hAnsiTheme="minorHAnsi"/>
          <w:b/>
          <w:sz w:val="22"/>
          <w:szCs w:val="22"/>
          <w:lang w:val="en-GB"/>
        </w:rPr>
        <w:t>Charge(s) under article 32</w:t>
      </w:r>
      <w:r w:rsidR="004E176B" w:rsidRPr="000A6B0A">
        <w:rPr>
          <w:rFonts w:asciiTheme="minorHAnsi" w:hAnsiTheme="minorHAnsi"/>
          <w:b/>
          <w:sz w:val="22"/>
          <w:szCs w:val="22"/>
          <w:lang w:val="en-GB"/>
        </w:rPr>
        <w:t>(</w:t>
      </w:r>
      <w:r w:rsidR="00DC105B" w:rsidRPr="000A6B0A">
        <w:rPr>
          <w:rFonts w:asciiTheme="minorHAnsi" w:hAnsiTheme="minorHAnsi"/>
          <w:b/>
          <w:sz w:val="22"/>
          <w:szCs w:val="22"/>
          <w:lang w:val="en-GB"/>
        </w:rPr>
        <w:t>3</w:t>
      </w:r>
      <w:r w:rsidR="004E176B" w:rsidRPr="000A6B0A">
        <w:rPr>
          <w:rFonts w:asciiTheme="minorHAnsi" w:hAnsiTheme="minorHAnsi"/>
          <w:b/>
          <w:sz w:val="22"/>
          <w:szCs w:val="22"/>
          <w:lang w:val="en-GB"/>
        </w:rPr>
        <w:t>)</w:t>
      </w:r>
      <w:r w:rsidR="00DC105B" w:rsidRPr="000A6B0A">
        <w:rPr>
          <w:rFonts w:asciiTheme="minorHAnsi" w:hAnsiTheme="minorHAnsi"/>
          <w:b/>
          <w:sz w:val="22"/>
          <w:szCs w:val="22"/>
          <w:lang w:val="en-GB"/>
        </w:rPr>
        <w:t xml:space="preserve"> of D</w:t>
      </w:r>
      <w:r w:rsidRPr="000A6B0A">
        <w:rPr>
          <w:rFonts w:asciiTheme="minorHAnsi" w:hAnsiTheme="minorHAnsi"/>
          <w:b/>
          <w:sz w:val="22"/>
          <w:szCs w:val="22"/>
          <w:lang w:val="en-GB"/>
        </w:rPr>
        <w:t xml:space="preserve">irective 2012/34/EU (long term costs): </w:t>
      </w:r>
      <w:r w:rsidRPr="000A6B0A">
        <w:rPr>
          <w:rFonts w:asciiTheme="minorHAnsi" w:hAnsiTheme="minorHAnsi"/>
          <w:sz w:val="22"/>
          <w:szCs w:val="22"/>
          <w:lang w:val="en-GB"/>
        </w:rPr>
        <w:t>“[f]</w:t>
      </w:r>
      <w:r w:rsidRPr="000A6B0A">
        <w:rPr>
          <w:rFonts w:asciiTheme="minorHAnsi" w:hAnsiTheme="minorHAnsi"/>
          <w:i/>
          <w:sz w:val="22"/>
          <w:szCs w:val="22"/>
          <w:lang w:val="en-GB"/>
        </w:rPr>
        <w:t>or specific future investment projects, or specific investment projects that have been completed after 1988, the infrastructure manager may set or continue to set higher charges on the basis of the long-term costs of such projects if they increase efficiency or cost-effectiveness or both and could not otherwise be or have been undertaken. Such a charging arrangement may also incorporate agreements on the sharing of the risk associated with new investments”;</w:t>
      </w:r>
    </w:p>
    <w:p w:rsidR="00ED5B84" w:rsidRPr="000A6B0A" w:rsidRDefault="00ED5B84" w:rsidP="00603222">
      <w:pPr>
        <w:pStyle w:val="Paragraphedeliste"/>
        <w:spacing w:line="276" w:lineRule="auto"/>
        <w:rPr>
          <w:rFonts w:asciiTheme="minorHAnsi" w:hAnsiTheme="minorHAnsi"/>
          <w:b/>
          <w:i/>
          <w:sz w:val="22"/>
          <w:szCs w:val="22"/>
          <w:lang w:val="en-GB"/>
        </w:rPr>
      </w:pPr>
    </w:p>
    <w:p w:rsidR="00ED5B84" w:rsidRPr="000A6B0A" w:rsidRDefault="000050C1" w:rsidP="00E561FB">
      <w:pPr>
        <w:pStyle w:val="Paragraphedeliste"/>
        <w:numPr>
          <w:ilvl w:val="0"/>
          <w:numId w:val="26"/>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lastRenderedPageBreak/>
        <w:t>Discounts under article 33</w:t>
      </w:r>
      <w:r w:rsidR="004E176B" w:rsidRPr="000A6B0A">
        <w:rPr>
          <w:rFonts w:asciiTheme="minorHAnsi" w:hAnsiTheme="minorHAnsi"/>
          <w:b/>
          <w:sz w:val="22"/>
          <w:szCs w:val="22"/>
          <w:lang w:val="en-GB"/>
        </w:rPr>
        <w:t>(</w:t>
      </w:r>
      <w:r w:rsidRPr="000A6B0A">
        <w:rPr>
          <w:rFonts w:asciiTheme="minorHAnsi" w:hAnsiTheme="minorHAnsi"/>
          <w:b/>
          <w:sz w:val="22"/>
          <w:szCs w:val="22"/>
          <w:lang w:val="en-GB"/>
        </w:rPr>
        <w:t>3</w:t>
      </w:r>
      <w:r w:rsidR="004E176B" w:rsidRPr="000A6B0A">
        <w:rPr>
          <w:rFonts w:asciiTheme="minorHAnsi" w:hAnsiTheme="minorHAnsi"/>
          <w:b/>
          <w:sz w:val="22"/>
          <w:szCs w:val="22"/>
          <w:lang w:val="en-GB"/>
        </w:rPr>
        <w:t>)</w:t>
      </w:r>
      <w:r w:rsidRPr="000A6B0A">
        <w:rPr>
          <w:rFonts w:asciiTheme="minorHAnsi" w:hAnsiTheme="minorHAnsi"/>
          <w:b/>
          <w:sz w:val="22"/>
          <w:szCs w:val="22"/>
          <w:lang w:val="en-GB"/>
        </w:rPr>
        <w:t xml:space="preserve"> of </w:t>
      </w:r>
      <w:r w:rsidR="00DC105B" w:rsidRPr="000A6B0A">
        <w:rPr>
          <w:rFonts w:asciiTheme="minorHAnsi" w:hAnsiTheme="minorHAnsi"/>
          <w:b/>
          <w:sz w:val="22"/>
          <w:szCs w:val="22"/>
          <w:lang w:val="en-GB"/>
        </w:rPr>
        <w:t>D</w:t>
      </w:r>
      <w:r w:rsidRPr="000A6B0A">
        <w:rPr>
          <w:rFonts w:asciiTheme="minorHAnsi" w:hAnsiTheme="minorHAnsi"/>
          <w:b/>
          <w:sz w:val="22"/>
          <w:szCs w:val="22"/>
          <w:lang w:val="en-GB"/>
        </w:rPr>
        <w:t xml:space="preserve">irective 2012/34/EU : </w:t>
      </w:r>
      <w:r w:rsidRPr="000A6B0A">
        <w:rPr>
          <w:rFonts w:asciiTheme="minorHAnsi" w:hAnsiTheme="minorHAnsi"/>
          <w:sz w:val="22"/>
          <w:szCs w:val="22"/>
          <w:lang w:val="en-GB"/>
        </w:rPr>
        <w:t>“[i]</w:t>
      </w:r>
      <w:r w:rsidRPr="000A6B0A">
        <w:rPr>
          <w:rFonts w:asciiTheme="minorHAnsi" w:hAnsiTheme="minorHAnsi"/>
          <w:i/>
          <w:sz w:val="22"/>
          <w:szCs w:val="22"/>
          <w:lang w:val="en-GB"/>
        </w:rPr>
        <w:t>nfrastructure managers may introduce schemes available to all users of the infrastructure, for specified traffic flows, granting time-limited discounts to encourage the development of new rail services, or discounts encouraging the use of considerably underutilised lines”;</w:t>
      </w:r>
    </w:p>
    <w:p w:rsidR="000050C1" w:rsidRPr="000A6B0A" w:rsidRDefault="000050C1" w:rsidP="00603222">
      <w:pPr>
        <w:pStyle w:val="Paragraphedeliste"/>
        <w:spacing w:line="276" w:lineRule="auto"/>
        <w:rPr>
          <w:rFonts w:asciiTheme="minorHAnsi" w:hAnsiTheme="minorHAnsi"/>
          <w:b/>
          <w:sz w:val="22"/>
          <w:szCs w:val="22"/>
          <w:lang w:val="en-GB"/>
        </w:rPr>
      </w:pPr>
    </w:p>
    <w:p w:rsidR="000050C1" w:rsidRPr="000A6B0A" w:rsidRDefault="000050C1" w:rsidP="00E561FB">
      <w:pPr>
        <w:pStyle w:val="Paragraphedeliste"/>
        <w:numPr>
          <w:ilvl w:val="0"/>
          <w:numId w:val="26"/>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Charges for the impact of public service operation contract under article</w:t>
      </w:r>
      <w:r w:rsidR="00DC105B" w:rsidRPr="000A6B0A">
        <w:rPr>
          <w:rFonts w:asciiTheme="minorHAnsi" w:hAnsiTheme="minorHAnsi"/>
          <w:b/>
          <w:sz w:val="22"/>
          <w:szCs w:val="22"/>
          <w:lang w:val="en-GB"/>
        </w:rPr>
        <w:t xml:space="preserve"> </w:t>
      </w:r>
      <w:r w:rsidR="00067EDC" w:rsidRPr="000A6B0A">
        <w:rPr>
          <w:rFonts w:asciiTheme="minorHAnsi" w:hAnsiTheme="minorHAnsi"/>
          <w:b/>
          <w:sz w:val="22"/>
          <w:szCs w:val="22"/>
          <w:lang w:val="en-GB"/>
        </w:rPr>
        <w:t>12</w:t>
      </w:r>
      <w:r w:rsidRPr="000A6B0A">
        <w:rPr>
          <w:rFonts w:asciiTheme="minorHAnsi" w:hAnsiTheme="minorHAnsi"/>
          <w:b/>
          <w:sz w:val="22"/>
          <w:szCs w:val="22"/>
          <w:lang w:val="en-GB"/>
        </w:rPr>
        <w:t xml:space="preserve"> of directive 2012/34/E</w:t>
      </w:r>
      <w:r w:rsidR="00552335" w:rsidRPr="000A6B0A">
        <w:rPr>
          <w:rFonts w:asciiTheme="minorHAnsi" w:hAnsiTheme="minorHAnsi"/>
          <w:b/>
          <w:sz w:val="22"/>
          <w:szCs w:val="22"/>
          <w:lang w:val="en-GB"/>
        </w:rPr>
        <w:t>U</w:t>
      </w:r>
      <w:r w:rsidR="00075DB4" w:rsidRPr="000A6B0A">
        <w:rPr>
          <w:rFonts w:asciiTheme="minorHAnsi" w:hAnsiTheme="minorHAnsi"/>
          <w:b/>
          <w:sz w:val="22"/>
          <w:szCs w:val="22"/>
          <w:lang w:val="en-GB"/>
        </w:rPr>
        <w:t xml:space="preserve">: </w:t>
      </w:r>
      <w:r w:rsidR="00075DB4" w:rsidRPr="000A6B0A">
        <w:rPr>
          <w:rFonts w:asciiTheme="minorHAnsi" w:hAnsiTheme="minorHAnsi"/>
          <w:sz w:val="22"/>
          <w:szCs w:val="22"/>
          <w:lang w:val="en-GB"/>
        </w:rPr>
        <w:t>“</w:t>
      </w:r>
      <w:r w:rsidR="007359A7">
        <w:rPr>
          <w:rFonts w:asciiTheme="minorHAnsi" w:hAnsiTheme="minorHAnsi"/>
          <w:i/>
          <w:sz w:val="22"/>
          <w:szCs w:val="22"/>
          <w:lang w:val="en-GB"/>
        </w:rPr>
        <w:t>[m]</w:t>
      </w:r>
      <w:r w:rsidR="007359A7" w:rsidRPr="000A6B0A">
        <w:rPr>
          <w:rFonts w:asciiTheme="minorHAnsi" w:hAnsiTheme="minorHAnsi"/>
          <w:i/>
          <w:sz w:val="22"/>
          <w:szCs w:val="22"/>
          <w:lang w:val="en-GB"/>
        </w:rPr>
        <w:t xml:space="preserve">ember </w:t>
      </w:r>
      <w:r w:rsidR="00075DB4" w:rsidRPr="000A6B0A">
        <w:rPr>
          <w:rFonts w:asciiTheme="minorHAnsi" w:hAnsiTheme="minorHAnsi"/>
          <w:i/>
          <w:sz w:val="22"/>
          <w:szCs w:val="22"/>
          <w:lang w:val="en-GB"/>
        </w:rPr>
        <w:t>States may, under the conditions laid down in this Article, authorise the authority responsible for rail passenger transport to impose a levy on railway undertakings providing passenger services for the operation of routes which fall within the jurisdiction of that authority and which are operated between two stations in that Member State”</w:t>
      </w:r>
      <w:r w:rsidRPr="000A6B0A">
        <w:rPr>
          <w:rFonts w:asciiTheme="minorHAnsi" w:hAnsiTheme="minorHAnsi"/>
          <w:sz w:val="22"/>
          <w:szCs w:val="22"/>
          <w:lang w:val="en-GB"/>
        </w:rPr>
        <w:t>;</w:t>
      </w:r>
    </w:p>
    <w:p w:rsidR="000050C1" w:rsidRPr="000A6B0A" w:rsidRDefault="000050C1" w:rsidP="00603222">
      <w:pPr>
        <w:pStyle w:val="Paragraphedeliste"/>
        <w:spacing w:line="276" w:lineRule="auto"/>
        <w:rPr>
          <w:rFonts w:asciiTheme="minorHAnsi" w:hAnsiTheme="minorHAnsi"/>
          <w:b/>
          <w:sz w:val="22"/>
          <w:szCs w:val="22"/>
          <w:lang w:val="en-GB"/>
        </w:rPr>
      </w:pPr>
    </w:p>
    <w:p w:rsidR="000050C1" w:rsidRPr="000A6B0A" w:rsidRDefault="000050C1" w:rsidP="00E561FB">
      <w:pPr>
        <w:pStyle w:val="Paragraphedeliste"/>
        <w:numPr>
          <w:ilvl w:val="0"/>
          <w:numId w:val="26"/>
        </w:numPr>
        <w:spacing w:line="276" w:lineRule="auto"/>
        <w:jc w:val="both"/>
        <w:rPr>
          <w:rFonts w:asciiTheme="minorHAnsi" w:hAnsiTheme="minorHAnsi"/>
          <w:i/>
          <w:sz w:val="22"/>
          <w:szCs w:val="22"/>
          <w:lang w:val="en-GB"/>
        </w:rPr>
      </w:pPr>
      <w:r w:rsidRPr="000A6B0A">
        <w:rPr>
          <w:rFonts w:asciiTheme="minorHAnsi" w:hAnsiTheme="minorHAnsi"/>
          <w:b/>
          <w:sz w:val="22"/>
          <w:szCs w:val="22"/>
          <w:lang w:val="en-GB"/>
        </w:rPr>
        <w:t>Incentives under</w:t>
      </w:r>
      <w:r w:rsidR="00DC105B" w:rsidRPr="000A6B0A">
        <w:rPr>
          <w:rFonts w:asciiTheme="minorHAnsi" w:hAnsiTheme="minorHAnsi"/>
          <w:b/>
          <w:sz w:val="22"/>
          <w:szCs w:val="22"/>
          <w:lang w:val="en-GB"/>
        </w:rPr>
        <w:t xml:space="preserve"> articles 30.1 of D</w:t>
      </w:r>
      <w:r w:rsidRPr="000A6B0A">
        <w:rPr>
          <w:rFonts w:asciiTheme="minorHAnsi" w:hAnsiTheme="minorHAnsi"/>
          <w:b/>
          <w:sz w:val="22"/>
          <w:szCs w:val="22"/>
          <w:lang w:val="en-GB"/>
        </w:rPr>
        <w:t>irective 2012/34/EU: “</w:t>
      </w:r>
      <w:r w:rsidRPr="000A6B0A">
        <w:rPr>
          <w:rFonts w:asciiTheme="minorHAnsi" w:hAnsiTheme="minorHAnsi"/>
          <w:i/>
          <w:sz w:val="22"/>
          <w:szCs w:val="22"/>
          <w:lang w:val="en-GB"/>
        </w:rPr>
        <w:t>[i]nfrastructure managers shall, with due regard to safety and to maintaining and improving the quality of the infrastructure service, be given incentives to reduce the costs of providing infrastructure and the level of access charges”.</w:t>
      </w:r>
    </w:p>
    <w:p w:rsidR="003F250B" w:rsidRPr="000A6B0A" w:rsidRDefault="003F250B" w:rsidP="00603222">
      <w:pPr>
        <w:spacing w:line="276" w:lineRule="auto"/>
        <w:jc w:val="both"/>
        <w:rPr>
          <w:rFonts w:asciiTheme="minorHAnsi" w:hAnsiTheme="minorHAnsi"/>
          <w:sz w:val="22"/>
          <w:szCs w:val="22"/>
          <w:lang w:val="en-GB"/>
        </w:rPr>
      </w:pPr>
    </w:p>
    <w:p w:rsidR="008C0E0E" w:rsidRPr="000A6B0A" w:rsidRDefault="008C0E0E" w:rsidP="00E3275C">
      <w:pPr>
        <w:pStyle w:val="Tabellenkopf"/>
        <w:jc w:val="center"/>
        <w:rPr>
          <w:rFonts w:ascii="Calibri" w:hAnsi="Calibri" w:cs="Calibri"/>
          <w:b/>
          <w:color w:val="FFFFFF"/>
          <w:sz w:val="20"/>
          <w:lang w:val="en-GB"/>
        </w:rPr>
        <w:sectPr w:rsidR="008C0E0E" w:rsidRPr="000A6B0A" w:rsidSect="00F76292">
          <w:headerReference w:type="even" r:id="rId9"/>
          <w:headerReference w:type="default" r:id="rId10"/>
          <w:footerReference w:type="even" r:id="rId11"/>
          <w:footerReference w:type="default" r:id="rId12"/>
          <w:headerReference w:type="first" r:id="rId13"/>
          <w:footerReference w:type="first" r:id="rId14"/>
          <w:pgSz w:w="11907" w:h="16839"/>
          <w:pgMar w:top="1258" w:right="1287" w:bottom="1008" w:left="1800" w:header="708" w:footer="708" w:gutter="0"/>
          <w:cols w:space="708"/>
          <w:docGrid w:linePitch="360"/>
        </w:sectPr>
      </w:pPr>
    </w:p>
    <w:tbl>
      <w:tblPr>
        <w:tblW w:w="12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1310"/>
        <w:gridCol w:w="1313"/>
        <w:gridCol w:w="796"/>
        <w:gridCol w:w="1287"/>
        <w:gridCol w:w="1312"/>
        <w:gridCol w:w="1265"/>
        <w:gridCol w:w="1388"/>
        <w:gridCol w:w="1628"/>
      </w:tblGrid>
      <w:tr w:rsidR="000050C1" w:rsidRPr="00C54CEB" w:rsidTr="0086605D">
        <w:trPr>
          <w:trHeight w:val="637"/>
          <w:tblHeader/>
          <w:jc w:val="center"/>
        </w:trPr>
        <w:tc>
          <w:tcPr>
            <w:tcW w:w="1715" w:type="dxa"/>
            <w:shd w:val="pct50" w:color="auto" w:fill="auto"/>
          </w:tcPr>
          <w:p w:rsidR="000050C1" w:rsidRPr="000A6B0A" w:rsidRDefault="000050C1" w:rsidP="0086605D">
            <w:pPr>
              <w:pStyle w:val="Tabellenkopf"/>
              <w:spacing w:before="0" w:after="0"/>
              <w:jc w:val="center"/>
              <w:rPr>
                <w:rFonts w:ascii="Calibri" w:hAnsi="Calibri" w:cs="Calibri"/>
                <w:b/>
                <w:color w:val="FFFFFF"/>
                <w:sz w:val="20"/>
                <w:lang w:val="en-GB"/>
              </w:rPr>
            </w:pPr>
          </w:p>
        </w:tc>
        <w:tc>
          <w:tcPr>
            <w:tcW w:w="1310"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 xml:space="preserve">Charge(s) reflecting direct costs </w:t>
            </w:r>
            <w:r w:rsidRPr="000A6B0A">
              <w:rPr>
                <w:rFonts w:ascii="Calibri" w:hAnsi="Calibri" w:cs="Calibri"/>
                <w:b/>
                <w:color w:val="FFFFFF"/>
                <w:sz w:val="16"/>
                <w:lang w:val="en-GB"/>
              </w:rPr>
              <w:br/>
              <w:t>(article 31.3 of directive 2012/34/</w:t>
            </w:r>
            <w:r w:rsidR="00A21B0F" w:rsidRPr="000A6B0A">
              <w:rPr>
                <w:rFonts w:ascii="Calibri" w:hAnsi="Calibri" w:cs="Calibri"/>
                <w:b/>
                <w:color w:val="FFFFFF"/>
                <w:sz w:val="16"/>
                <w:lang w:val="en-GB"/>
              </w:rPr>
              <w:t>EU</w:t>
            </w:r>
            <w:r w:rsidRPr="000A6B0A">
              <w:rPr>
                <w:rFonts w:ascii="Calibri" w:hAnsi="Calibri" w:cs="Calibri"/>
                <w:b/>
                <w:color w:val="FFFFFF"/>
                <w:sz w:val="16"/>
                <w:lang w:val="en-GB"/>
              </w:rPr>
              <w:t>)</w:t>
            </w:r>
          </w:p>
        </w:tc>
        <w:tc>
          <w:tcPr>
            <w:tcW w:w="1313"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Charge(s) under article 32.3 of directive 2012/34/EU (long term costs)</w:t>
            </w:r>
          </w:p>
        </w:tc>
        <w:tc>
          <w:tcPr>
            <w:tcW w:w="796"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Annual</w:t>
            </w:r>
          </w:p>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prices?</w:t>
            </w:r>
          </w:p>
        </w:tc>
        <w:tc>
          <w:tcPr>
            <w:tcW w:w="1287" w:type="dxa"/>
            <w:shd w:val="pct50" w:color="auto" w:fill="auto"/>
            <w:vAlign w:val="center"/>
          </w:tcPr>
          <w:p w:rsidR="00603222"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Market segments?</w:t>
            </w:r>
            <w:r w:rsidR="00580C20" w:rsidRPr="000A6B0A">
              <w:rPr>
                <w:rFonts w:ascii="Calibri" w:hAnsi="Calibri" w:cs="Calibri"/>
                <w:b/>
                <w:color w:val="FFFFFF"/>
                <w:sz w:val="16"/>
                <w:lang w:val="en-GB"/>
              </w:rPr>
              <w:br/>
            </w:r>
            <w:r w:rsidR="00603222" w:rsidRPr="000A6B0A">
              <w:rPr>
                <w:rFonts w:ascii="Calibri" w:hAnsi="Calibri" w:cs="Calibri"/>
                <w:b/>
                <w:color w:val="FFFFFF"/>
                <w:sz w:val="16"/>
                <w:lang w:val="en-GB"/>
              </w:rPr>
              <w:t>(article 32.1 of directive 2012/34/EU)</w:t>
            </w:r>
          </w:p>
        </w:tc>
        <w:tc>
          <w:tcPr>
            <w:tcW w:w="1312"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Mark-ups “</w:t>
            </w:r>
            <w:r w:rsidRPr="000A6B0A">
              <w:rPr>
                <w:rFonts w:ascii="Calibri" w:hAnsi="Calibri" w:cs="Calibri"/>
                <w:b/>
                <w:i/>
                <w:color w:val="FFFFFF"/>
                <w:sz w:val="16"/>
                <w:lang w:val="en-GB"/>
              </w:rPr>
              <w:t xml:space="preserve">if the market can bear this” </w:t>
            </w:r>
            <w:r w:rsidRPr="000A6B0A">
              <w:rPr>
                <w:rFonts w:ascii="Calibri" w:hAnsi="Calibri" w:cs="Calibri"/>
                <w:b/>
                <w:color w:val="FFFFFF"/>
                <w:sz w:val="16"/>
                <w:lang w:val="en-GB"/>
              </w:rPr>
              <w:t>(article 32.1 of directive 2012/34/</w:t>
            </w:r>
            <w:r w:rsidR="00A21B0F" w:rsidRPr="000A6B0A">
              <w:rPr>
                <w:rFonts w:ascii="Calibri" w:hAnsi="Calibri" w:cs="Calibri"/>
                <w:b/>
                <w:color w:val="FFFFFF"/>
                <w:sz w:val="16"/>
                <w:lang w:val="en-GB"/>
              </w:rPr>
              <w:t>EU</w:t>
            </w:r>
            <w:r w:rsidRPr="000A6B0A">
              <w:rPr>
                <w:rFonts w:ascii="Calibri" w:hAnsi="Calibri" w:cs="Calibri"/>
                <w:b/>
                <w:color w:val="FFFFFF"/>
                <w:sz w:val="16"/>
                <w:lang w:val="en-GB"/>
              </w:rPr>
              <w:t>)</w:t>
            </w:r>
          </w:p>
        </w:tc>
        <w:tc>
          <w:tcPr>
            <w:tcW w:w="1265"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Discounts (article 33.3 of directive 2012/</w:t>
            </w:r>
            <w:r w:rsidR="00780DD0" w:rsidRPr="000A6B0A">
              <w:rPr>
                <w:rFonts w:ascii="Calibri" w:hAnsi="Calibri" w:cs="Calibri"/>
                <w:b/>
                <w:color w:val="FFFFFF"/>
                <w:sz w:val="16"/>
                <w:lang w:val="en-GB"/>
              </w:rPr>
              <w:t>3</w:t>
            </w:r>
            <w:r w:rsidRPr="000A6B0A">
              <w:rPr>
                <w:rFonts w:ascii="Calibri" w:hAnsi="Calibri" w:cs="Calibri"/>
                <w:b/>
                <w:color w:val="FFFFFF"/>
                <w:sz w:val="16"/>
                <w:lang w:val="en-GB"/>
              </w:rPr>
              <w:t>4/EU)</w:t>
            </w:r>
          </w:p>
        </w:tc>
        <w:tc>
          <w:tcPr>
            <w:tcW w:w="1388" w:type="dxa"/>
            <w:shd w:val="pct50" w:color="auto" w:fill="auto"/>
            <w:vAlign w:val="center"/>
          </w:tcPr>
          <w:p w:rsidR="00603222" w:rsidRPr="000A6B0A" w:rsidRDefault="000050C1" w:rsidP="0086605D">
            <w:pPr>
              <w:pStyle w:val="Tabellenkopf"/>
              <w:spacing w:before="0" w:after="0"/>
              <w:jc w:val="center"/>
              <w:rPr>
                <w:sz w:val="16"/>
                <w:lang w:val="en-GB"/>
              </w:rPr>
            </w:pPr>
            <w:r w:rsidRPr="000A6B0A">
              <w:rPr>
                <w:rFonts w:ascii="Calibri" w:hAnsi="Calibri" w:cs="Calibri"/>
                <w:b/>
                <w:color w:val="FFFFFF"/>
                <w:sz w:val="16"/>
                <w:lang w:val="en-GB"/>
              </w:rPr>
              <w:t>Charges for the impact of PSO contracts</w:t>
            </w:r>
            <w:r w:rsidR="00603222" w:rsidRPr="000A6B0A">
              <w:rPr>
                <w:rFonts w:ascii="Calibri" w:hAnsi="Calibri" w:cs="Calibri"/>
                <w:b/>
                <w:color w:val="FFFFFF"/>
                <w:sz w:val="16"/>
                <w:lang w:val="en-GB"/>
              </w:rPr>
              <w:br/>
              <w:t>(article 12 of directive 2012/34/EU)</w:t>
            </w:r>
          </w:p>
        </w:tc>
        <w:tc>
          <w:tcPr>
            <w:tcW w:w="1628" w:type="dxa"/>
            <w:shd w:val="pct50" w:color="auto" w:fill="auto"/>
            <w:vAlign w:val="center"/>
          </w:tcPr>
          <w:p w:rsidR="000050C1" w:rsidRPr="000A6B0A" w:rsidRDefault="000050C1" w:rsidP="0086605D">
            <w:pPr>
              <w:pStyle w:val="Tabellenkopf"/>
              <w:spacing w:before="0" w:after="0"/>
              <w:jc w:val="center"/>
              <w:rPr>
                <w:rFonts w:ascii="Calibri" w:hAnsi="Calibri" w:cs="Calibri"/>
                <w:b/>
                <w:color w:val="FFFFFF"/>
                <w:sz w:val="16"/>
                <w:lang w:val="en-GB"/>
              </w:rPr>
            </w:pPr>
            <w:r w:rsidRPr="000A6B0A">
              <w:rPr>
                <w:rFonts w:ascii="Calibri" w:hAnsi="Calibri" w:cs="Calibri"/>
                <w:b/>
                <w:color w:val="FFFFFF"/>
                <w:sz w:val="16"/>
                <w:lang w:val="en-GB"/>
              </w:rPr>
              <w:t>Incentives under article 30.1 of directive 2012/34/EU</w:t>
            </w:r>
          </w:p>
        </w:tc>
      </w:tr>
      <w:tr w:rsidR="008C0E0E" w:rsidRPr="000A6B0A" w:rsidTr="0086605D">
        <w:trPr>
          <w:trHeight w:val="56"/>
          <w:jc w:val="center"/>
        </w:trPr>
        <w:tc>
          <w:tcPr>
            <w:tcW w:w="1715" w:type="dxa"/>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310" w:type="dxa"/>
            <w:vAlign w:val="center"/>
          </w:tcPr>
          <w:p w:rsidR="008C0E0E" w:rsidRPr="000A6B0A" w:rsidRDefault="008C0E0E"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vAlign w:val="center"/>
          </w:tcPr>
          <w:p w:rsidR="008C0E0E" w:rsidRPr="000A6B0A" w:rsidRDefault="00E8681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r w:rsidR="00094DB6" w:rsidRPr="008949E3">
              <w:rPr>
                <w:rStyle w:val="Appelnotedebasdep"/>
                <w:rFonts w:asciiTheme="minorHAnsi" w:hAnsiTheme="minorHAnsi"/>
                <w:b/>
                <w:sz w:val="20"/>
                <w:szCs w:val="20"/>
                <w:lang w:val="en-GB"/>
              </w:rPr>
              <w:footnoteReference w:id="3"/>
            </w:r>
          </w:p>
        </w:tc>
        <w:tc>
          <w:tcPr>
            <w:tcW w:w="1265" w:type="dxa"/>
            <w:vAlign w:val="center"/>
          </w:tcPr>
          <w:p w:rsidR="008C0E0E" w:rsidRPr="00DA6962" w:rsidRDefault="008C0E0E">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c>
          <w:tcPr>
            <w:tcW w:w="1388" w:type="dxa"/>
            <w:vAlign w:val="center"/>
          </w:tcPr>
          <w:p w:rsidR="008C0E0E" w:rsidRPr="00DA6962" w:rsidRDefault="008C0E0E">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c>
          <w:tcPr>
            <w:tcW w:w="1628" w:type="dxa"/>
            <w:vAlign w:val="center"/>
          </w:tcPr>
          <w:p w:rsidR="008C0E0E" w:rsidRPr="00DA6962" w:rsidRDefault="008C0E0E">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r>
      <w:tr w:rsidR="00BB5990" w:rsidRPr="000A6B0A" w:rsidTr="0086605D">
        <w:trPr>
          <w:trHeight w:val="56"/>
          <w:jc w:val="center"/>
        </w:trPr>
        <w:tc>
          <w:tcPr>
            <w:tcW w:w="1715" w:type="dxa"/>
            <w:shd w:val="clear" w:color="auto" w:fill="D9D9D9" w:themeFill="background1" w:themeFillShade="D9"/>
            <w:vAlign w:val="center"/>
          </w:tcPr>
          <w:p w:rsidR="00BB5990" w:rsidRPr="000A6B0A" w:rsidRDefault="00BB5990"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r>
              <w:rPr>
                <w:rStyle w:val="Appelnotedebasdep"/>
                <w:rFonts w:ascii="Calibri" w:hAnsi="Calibri"/>
                <w:b/>
                <w:sz w:val="20"/>
                <w:lang w:val="en-GB"/>
              </w:rPr>
              <w:footnoteReference w:id="4"/>
            </w:r>
          </w:p>
        </w:tc>
        <w:tc>
          <w:tcPr>
            <w:tcW w:w="1310" w:type="dxa"/>
            <w:shd w:val="clear" w:color="auto" w:fill="D9D9D9" w:themeFill="background1" w:themeFillShade="D9"/>
            <w:vAlign w:val="center"/>
          </w:tcPr>
          <w:p w:rsidR="00BB5990" w:rsidRPr="000A6B0A" w:rsidRDefault="00BB5990" w:rsidP="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13" w:type="dxa"/>
            <w:shd w:val="clear" w:color="auto" w:fill="D9D9D9" w:themeFill="background1" w:themeFillShade="D9"/>
            <w:vAlign w:val="center"/>
          </w:tcPr>
          <w:p w:rsidR="00BB5990" w:rsidRPr="000A6B0A" w:rsidRDefault="00BB5990">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BB5990" w:rsidRPr="000A6B0A" w:rsidRDefault="00BB599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BB5990" w:rsidRPr="000A6B0A" w:rsidRDefault="00BB599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shd w:val="clear" w:color="auto" w:fill="D9D9D9" w:themeFill="background1" w:themeFillShade="D9"/>
            <w:vAlign w:val="center"/>
          </w:tcPr>
          <w:p w:rsidR="00BB5990" w:rsidRPr="000A6B0A" w:rsidRDefault="00BB5990">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BB5990" w:rsidRPr="00DA6962" w:rsidRDefault="00BB5990">
            <w:pPr>
              <w:jc w:val="center"/>
              <w:rPr>
                <w:rFonts w:asciiTheme="minorHAnsi" w:hAnsiTheme="minorHAnsi"/>
                <w:sz w:val="20"/>
                <w:szCs w:val="28"/>
                <w:lang w:val="en-GB"/>
              </w:rPr>
            </w:pPr>
            <w:r w:rsidRPr="000A6B0A">
              <w:rPr>
                <w:rFonts w:ascii="Wingdings 2" w:hAnsi="Wingdings 2"/>
                <w:b/>
                <w:color w:val="800000"/>
                <w:sz w:val="28"/>
                <w:szCs w:val="28"/>
                <w:lang w:val="en-GB"/>
              </w:rPr>
              <w:t></w:t>
            </w:r>
          </w:p>
        </w:tc>
        <w:tc>
          <w:tcPr>
            <w:tcW w:w="1388" w:type="dxa"/>
            <w:shd w:val="clear" w:color="auto" w:fill="D9D9D9" w:themeFill="background1" w:themeFillShade="D9"/>
            <w:vAlign w:val="center"/>
          </w:tcPr>
          <w:p w:rsidR="00BB5990" w:rsidRPr="00DA6962" w:rsidRDefault="00BB5990">
            <w:pPr>
              <w:jc w:val="center"/>
              <w:rPr>
                <w:rFonts w:asciiTheme="minorHAnsi" w:hAnsiTheme="minorHAnsi"/>
                <w:sz w:val="20"/>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BB5990" w:rsidRPr="00DA6962" w:rsidRDefault="00BB5990">
            <w:pPr>
              <w:jc w:val="center"/>
              <w:rPr>
                <w:rFonts w:asciiTheme="minorHAnsi" w:hAnsiTheme="minorHAnsi"/>
                <w:sz w:val="20"/>
                <w:szCs w:val="28"/>
                <w:lang w:val="en-GB"/>
              </w:rPr>
            </w:pPr>
            <w:r w:rsidRPr="000A6B0A">
              <w:rPr>
                <w:rFonts w:ascii="Wingdings 2" w:hAnsi="Wingdings 2"/>
                <w:b/>
                <w:color w:val="800000"/>
                <w:sz w:val="28"/>
                <w:szCs w:val="28"/>
                <w:lang w:val="en-GB"/>
              </w:rPr>
              <w:t></w:t>
            </w:r>
          </w:p>
        </w:tc>
      </w:tr>
      <w:tr w:rsidR="00D113B2" w:rsidRPr="000A6B0A" w:rsidTr="00DA6962">
        <w:trPr>
          <w:trHeight w:val="56"/>
          <w:jc w:val="center"/>
        </w:trPr>
        <w:tc>
          <w:tcPr>
            <w:tcW w:w="1715" w:type="dxa"/>
            <w:vAlign w:val="center"/>
          </w:tcPr>
          <w:p w:rsidR="00D113B2" w:rsidRPr="000A6B0A" w:rsidRDefault="00D113B2"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310" w:type="dxa"/>
            <w:vAlign w:val="center"/>
          </w:tcPr>
          <w:p w:rsidR="00D113B2" w:rsidRPr="000A6B0A" w:rsidRDefault="00EB20D1"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vAlign w:val="center"/>
          </w:tcPr>
          <w:p w:rsidR="00D113B2" w:rsidRPr="000A6B0A" w:rsidRDefault="00EB20D1">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6" w:type="dxa"/>
            <w:vAlign w:val="center"/>
          </w:tcPr>
          <w:p w:rsidR="00D113B2" w:rsidRPr="000A6B0A" w:rsidRDefault="00EB20D1">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D113B2" w:rsidRPr="000A6B0A" w:rsidRDefault="00EB20D1">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12" w:type="dxa"/>
            <w:vAlign w:val="center"/>
          </w:tcPr>
          <w:p w:rsidR="00D113B2" w:rsidRPr="000A6B0A" w:rsidRDefault="00EB20D1">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113B2" w:rsidRPr="00DA6962" w:rsidRDefault="00EB20D1">
            <w:pPr>
              <w:jc w:val="center"/>
              <w:rPr>
                <w:rFonts w:asciiTheme="minorHAnsi" w:hAnsiTheme="minorHAnsi"/>
                <w:sz w:val="20"/>
                <w:szCs w:val="28"/>
                <w:lang w:val="en-GB"/>
              </w:rPr>
            </w:pPr>
            <w:r w:rsidRPr="000A6B0A">
              <w:rPr>
                <w:rFonts w:ascii="Wingdings 2" w:hAnsi="Wingdings 2"/>
                <w:b/>
                <w:color w:val="008000"/>
                <w:sz w:val="28"/>
                <w:szCs w:val="28"/>
                <w:lang w:val="en-GB"/>
              </w:rPr>
              <w:t></w:t>
            </w:r>
          </w:p>
        </w:tc>
        <w:tc>
          <w:tcPr>
            <w:tcW w:w="1388" w:type="dxa"/>
            <w:vAlign w:val="center"/>
          </w:tcPr>
          <w:p w:rsidR="00D113B2" w:rsidRPr="00DA6962" w:rsidRDefault="00EB20D1">
            <w:pPr>
              <w:jc w:val="center"/>
              <w:rPr>
                <w:rFonts w:asciiTheme="minorHAnsi" w:hAnsiTheme="minorHAnsi"/>
                <w:sz w:val="20"/>
                <w:szCs w:val="28"/>
                <w:lang w:val="en-GB"/>
              </w:rPr>
            </w:pPr>
            <w:r w:rsidRPr="000A6B0A">
              <w:rPr>
                <w:rFonts w:ascii="Wingdings 2" w:hAnsi="Wingdings 2"/>
                <w:b/>
                <w:color w:val="800000"/>
                <w:sz w:val="28"/>
                <w:szCs w:val="28"/>
                <w:lang w:val="en-GB"/>
              </w:rPr>
              <w:t></w:t>
            </w:r>
          </w:p>
        </w:tc>
        <w:tc>
          <w:tcPr>
            <w:tcW w:w="1628" w:type="dxa"/>
            <w:vAlign w:val="center"/>
          </w:tcPr>
          <w:p w:rsidR="00D113B2" w:rsidRPr="00DA6962" w:rsidRDefault="00EB20D1">
            <w:pPr>
              <w:jc w:val="center"/>
              <w:rPr>
                <w:rFonts w:asciiTheme="minorHAnsi" w:hAnsiTheme="minorHAnsi"/>
                <w:sz w:val="20"/>
                <w:szCs w:val="28"/>
                <w:lang w:val="en-GB"/>
              </w:rPr>
            </w:pPr>
            <w:r w:rsidRPr="000A6B0A">
              <w:rPr>
                <w:rFonts w:ascii="Wingdings 2" w:hAnsi="Wingdings 2"/>
                <w:b/>
                <w:color w:val="008000"/>
                <w:sz w:val="28"/>
                <w:szCs w:val="28"/>
                <w:lang w:val="en-GB"/>
              </w:rPr>
              <w:t></w:t>
            </w:r>
          </w:p>
        </w:tc>
      </w:tr>
      <w:tr w:rsidR="008C0E0E" w:rsidRPr="000A6B0A" w:rsidTr="0086605D">
        <w:trPr>
          <w:trHeight w:val="56"/>
          <w:jc w:val="center"/>
        </w:trPr>
        <w:tc>
          <w:tcPr>
            <w:tcW w:w="1715" w:type="dxa"/>
            <w:shd w:val="clear" w:color="auto" w:fill="D9D9D9" w:themeFill="background1" w:themeFillShade="D9"/>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1310" w:type="dxa"/>
            <w:shd w:val="clear" w:color="auto" w:fill="D9D9D9" w:themeFill="background1" w:themeFillShade="D9"/>
            <w:vAlign w:val="center"/>
          </w:tcPr>
          <w:p w:rsidR="008C0E0E" w:rsidRPr="000A6B0A" w:rsidRDefault="008C0E0E"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87"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12"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88"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8C0E0E" w:rsidRPr="000A6B0A" w:rsidTr="008949E3">
        <w:trPr>
          <w:trHeight w:val="56"/>
          <w:jc w:val="center"/>
        </w:trPr>
        <w:tc>
          <w:tcPr>
            <w:tcW w:w="1715" w:type="dxa"/>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310" w:type="dxa"/>
            <w:vAlign w:val="center"/>
          </w:tcPr>
          <w:p w:rsidR="008C0E0E" w:rsidRPr="008949E3" w:rsidRDefault="008C0E0E" w:rsidP="00B26AF2">
            <w:pPr>
              <w:jc w:val="center"/>
              <w:rPr>
                <w:lang w:val="en-GB"/>
              </w:rPr>
            </w:pPr>
            <w:r w:rsidRPr="000A6B0A">
              <w:rPr>
                <w:rFonts w:ascii="Wingdings 2" w:hAnsi="Wingdings 2"/>
                <w:b/>
                <w:color w:val="008000"/>
                <w:sz w:val="28"/>
                <w:szCs w:val="28"/>
                <w:lang w:val="en-GB"/>
              </w:rPr>
              <w:t></w:t>
            </w:r>
          </w:p>
        </w:tc>
        <w:tc>
          <w:tcPr>
            <w:tcW w:w="1313" w:type="dxa"/>
            <w:vAlign w:val="center"/>
          </w:tcPr>
          <w:p w:rsidR="008C0E0E" w:rsidRPr="008949E3" w:rsidRDefault="008C0E0E">
            <w:pPr>
              <w:jc w:val="center"/>
              <w:rPr>
                <w:rFonts w:ascii="Wingdings 2" w:hAnsi="Wingdings 2"/>
                <w:b/>
                <w:color w:val="800000"/>
                <w:sz w:val="28"/>
                <w:szCs w:val="28"/>
                <w:lang w:val="en-GB"/>
              </w:rPr>
            </w:pPr>
            <w:r w:rsidRPr="000A6B0A">
              <w:rPr>
                <w:lang w:val="en-GB"/>
              </w:rPr>
              <w:t>(</w:t>
            </w:r>
            <w:r w:rsidRPr="000A6B0A">
              <w:rPr>
                <w:rFonts w:ascii="Wingdings 2" w:hAnsi="Wingdings 2"/>
                <w:b/>
                <w:color w:val="800000"/>
                <w:sz w:val="28"/>
                <w:szCs w:val="28"/>
                <w:lang w:val="en-GB"/>
              </w:rPr>
              <w:t></w:t>
            </w:r>
            <w:r w:rsidRPr="000A6B0A">
              <w:rPr>
                <w:lang w:val="en-GB"/>
              </w:rPr>
              <w:t>)</w:t>
            </w:r>
            <w:r w:rsidR="008949E3" w:rsidRPr="008949E3">
              <w:rPr>
                <w:rStyle w:val="Appelnotedebasdep"/>
                <w:rFonts w:asciiTheme="minorHAnsi" w:hAnsiTheme="minorHAnsi"/>
                <w:b/>
                <w:sz w:val="20"/>
                <w:szCs w:val="20"/>
                <w:lang w:val="en-GB"/>
              </w:rPr>
              <w:footnoteReference w:id="5"/>
            </w:r>
          </w:p>
        </w:tc>
        <w:tc>
          <w:tcPr>
            <w:tcW w:w="796"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12"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65"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88"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28"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113B2" w:rsidRPr="000A6B0A" w:rsidTr="0086605D">
        <w:trPr>
          <w:trHeight w:val="56"/>
          <w:jc w:val="center"/>
        </w:trPr>
        <w:tc>
          <w:tcPr>
            <w:tcW w:w="1715" w:type="dxa"/>
            <w:shd w:val="clear" w:color="auto" w:fill="D9D9D9" w:themeFill="background1" w:themeFillShade="D9"/>
            <w:vAlign w:val="center"/>
          </w:tcPr>
          <w:p w:rsidR="00D113B2" w:rsidRPr="000A6B0A" w:rsidRDefault="00D113B2"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310" w:type="dxa"/>
            <w:shd w:val="clear" w:color="auto" w:fill="D9D9D9" w:themeFill="background1" w:themeFillShade="D9"/>
            <w:vAlign w:val="center"/>
          </w:tcPr>
          <w:p w:rsidR="00D113B2" w:rsidRPr="000A6B0A" w:rsidRDefault="00D113B2" w:rsidP="00B26AF2">
            <w:pPr>
              <w:jc w:val="center"/>
              <w:rPr>
                <w:lang w:val="en-GB"/>
              </w:rPr>
            </w:pPr>
            <w:r w:rsidRPr="000A6B0A">
              <w:rPr>
                <w:rFonts w:ascii="Wingdings 2" w:hAnsi="Wingdings 2"/>
                <w:b/>
                <w:color w:val="800000"/>
                <w:sz w:val="28"/>
                <w:szCs w:val="28"/>
                <w:lang w:val="en-GB"/>
              </w:rPr>
              <w:t></w:t>
            </w:r>
            <w:r w:rsidRPr="008949E3">
              <w:rPr>
                <w:rStyle w:val="Appelnotedebasdep"/>
                <w:rFonts w:asciiTheme="minorHAnsi" w:hAnsiTheme="minorHAnsi"/>
                <w:b/>
                <w:sz w:val="20"/>
                <w:szCs w:val="20"/>
                <w:lang w:val="en-GB"/>
              </w:rPr>
              <w:footnoteReference w:id="6"/>
            </w:r>
          </w:p>
        </w:tc>
        <w:tc>
          <w:tcPr>
            <w:tcW w:w="1313" w:type="dxa"/>
            <w:shd w:val="clear" w:color="auto" w:fill="D9D9D9" w:themeFill="background1" w:themeFillShade="D9"/>
            <w:vAlign w:val="center"/>
          </w:tcPr>
          <w:p w:rsidR="00D113B2" w:rsidRPr="000A6B0A" w:rsidRDefault="00D113B2">
            <w:pPr>
              <w:jc w:val="center"/>
              <w:rPr>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D113B2" w:rsidRPr="000A6B0A" w:rsidRDefault="00D113B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D113B2" w:rsidRPr="000A6B0A" w:rsidRDefault="00D113B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12" w:type="dxa"/>
            <w:shd w:val="clear" w:color="auto" w:fill="D9D9D9" w:themeFill="background1" w:themeFillShade="D9"/>
            <w:vAlign w:val="center"/>
          </w:tcPr>
          <w:p w:rsidR="00D113B2" w:rsidRPr="000A6B0A" w:rsidRDefault="00D113B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113B2" w:rsidRPr="000A6B0A" w:rsidRDefault="00D113B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88" w:type="dxa"/>
            <w:shd w:val="clear" w:color="auto" w:fill="D9D9D9" w:themeFill="background1" w:themeFillShade="D9"/>
            <w:vAlign w:val="center"/>
          </w:tcPr>
          <w:p w:rsidR="00D113B2" w:rsidRPr="000A6B0A" w:rsidRDefault="00D113B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D113B2" w:rsidRPr="000A6B0A" w:rsidRDefault="00D113B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8C0E0E" w:rsidRPr="000A6B0A" w:rsidTr="008949E3">
        <w:trPr>
          <w:trHeight w:val="56"/>
          <w:jc w:val="center"/>
        </w:trPr>
        <w:tc>
          <w:tcPr>
            <w:tcW w:w="1715" w:type="dxa"/>
            <w:vAlign w:val="center"/>
          </w:tcPr>
          <w:p w:rsidR="008C0E0E" w:rsidRPr="008949E3" w:rsidRDefault="005575E0"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Finland</w:t>
            </w:r>
          </w:p>
        </w:tc>
        <w:tc>
          <w:tcPr>
            <w:tcW w:w="1310" w:type="dxa"/>
            <w:vAlign w:val="center"/>
          </w:tcPr>
          <w:p w:rsidR="008C0E0E" w:rsidRPr="000A6B0A" w:rsidRDefault="008C0E0E"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vAlign w:val="center"/>
          </w:tcPr>
          <w:p w:rsidR="008C0E0E" w:rsidRPr="008949E3" w:rsidRDefault="000228AD">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87"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12"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65" w:type="dxa"/>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88" w:type="dxa"/>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8C0E0E" w:rsidRPr="000A6B0A" w:rsidTr="0086605D">
        <w:trPr>
          <w:trHeight w:val="75"/>
          <w:jc w:val="center"/>
        </w:trPr>
        <w:tc>
          <w:tcPr>
            <w:tcW w:w="1715" w:type="dxa"/>
            <w:tcBorders>
              <w:bottom w:val="single" w:sz="4" w:space="0" w:color="auto"/>
            </w:tcBorders>
            <w:shd w:val="clear" w:color="auto" w:fill="D9D9D9" w:themeFill="background1" w:themeFillShade="D9"/>
            <w:vAlign w:val="center"/>
          </w:tcPr>
          <w:p w:rsidR="008C0E0E" w:rsidRPr="000A6B0A" w:rsidRDefault="008C0E0E" w:rsidP="0086605D">
            <w:pPr>
              <w:pStyle w:val="Tabellenkopf"/>
              <w:spacing w:before="0" w:after="0"/>
              <w:jc w:val="center"/>
              <w:rPr>
                <w:b/>
                <w:sz w:val="20"/>
                <w:lang w:val="en-GB"/>
              </w:rPr>
            </w:pPr>
            <w:r w:rsidRPr="000A6B0A">
              <w:rPr>
                <w:rFonts w:ascii="Calibri" w:hAnsi="Calibri" w:cs="Calibri"/>
                <w:b/>
                <w:sz w:val="20"/>
                <w:lang w:val="en-GB"/>
              </w:rPr>
              <w:t>France</w:t>
            </w:r>
          </w:p>
        </w:tc>
        <w:tc>
          <w:tcPr>
            <w:tcW w:w="1310" w:type="dxa"/>
            <w:tcBorders>
              <w:bottom w:val="single" w:sz="4" w:space="0" w:color="auto"/>
            </w:tcBorders>
            <w:shd w:val="clear" w:color="auto" w:fill="D9D9D9" w:themeFill="background1" w:themeFillShade="D9"/>
            <w:vAlign w:val="center"/>
          </w:tcPr>
          <w:p w:rsidR="008C0E0E" w:rsidRPr="000A6B0A" w:rsidRDefault="008C0E0E"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tcBorders>
              <w:bottom w:val="single" w:sz="4" w:space="0" w:color="auto"/>
            </w:tcBorders>
            <w:shd w:val="clear" w:color="auto" w:fill="D9D9D9" w:themeFill="background1" w:themeFillShade="D9"/>
            <w:vAlign w:val="center"/>
          </w:tcPr>
          <w:p w:rsidR="008C0E0E" w:rsidRPr="000A6B0A" w:rsidRDefault="007F2C5C">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7"/>
            </w:r>
          </w:p>
        </w:tc>
        <w:tc>
          <w:tcPr>
            <w:tcW w:w="796" w:type="dxa"/>
            <w:tcBorders>
              <w:bottom w:val="single" w:sz="4" w:space="0" w:color="auto"/>
            </w:tcBorders>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87" w:type="dxa"/>
            <w:tcBorders>
              <w:bottom w:val="single" w:sz="4" w:space="0" w:color="auto"/>
            </w:tcBorders>
            <w:shd w:val="clear" w:color="auto" w:fill="D9D9D9" w:themeFill="background1" w:themeFillShade="D9"/>
            <w:vAlign w:val="center"/>
          </w:tcPr>
          <w:p w:rsidR="008C0E0E" w:rsidRPr="000A6B0A" w:rsidRDefault="008C0E0E">
            <w:pPr>
              <w:jc w:val="center"/>
              <w:rPr>
                <w:rFonts w:ascii="Arial Narrow" w:hAnsi="Arial Narrow"/>
                <w:color w:val="000000"/>
                <w:sz w:val="28"/>
                <w:szCs w:val="28"/>
                <w:lang w:val="en-GB"/>
              </w:rPr>
            </w:pPr>
            <w:r w:rsidRPr="000A6B0A">
              <w:rPr>
                <w:rFonts w:ascii="Wingdings 2" w:hAnsi="Wingdings 2"/>
                <w:b/>
                <w:color w:val="008000"/>
                <w:sz w:val="28"/>
                <w:szCs w:val="28"/>
                <w:lang w:val="en-GB"/>
              </w:rPr>
              <w:t></w:t>
            </w:r>
          </w:p>
        </w:tc>
        <w:tc>
          <w:tcPr>
            <w:tcW w:w="1312" w:type="dxa"/>
            <w:tcBorders>
              <w:bottom w:val="single" w:sz="4" w:space="0" w:color="auto"/>
            </w:tcBorders>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65" w:type="dxa"/>
            <w:tcBorders>
              <w:bottom w:val="single" w:sz="4" w:space="0" w:color="auto"/>
            </w:tcBorders>
            <w:shd w:val="clear" w:color="auto" w:fill="D9D9D9" w:themeFill="background1" w:themeFillShade="D9"/>
            <w:vAlign w:val="center"/>
          </w:tcPr>
          <w:p w:rsidR="008C0E0E" w:rsidRPr="000A6B0A" w:rsidRDefault="007F2C5C">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88" w:type="dxa"/>
            <w:tcBorders>
              <w:bottom w:val="single" w:sz="4" w:space="0" w:color="auto"/>
            </w:tcBorders>
            <w:shd w:val="clear" w:color="auto" w:fill="D9D9D9" w:themeFill="background1" w:themeFillShade="D9"/>
            <w:vAlign w:val="center"/>
          </w:tcPr>
          <w:p w:rsidR="008C0E0E" w:rsidRPr="000A6B0A"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tcBorders>
              <w:bottom w:val="single" w:sz="4" w:space="0" w:color="auto"/>
            </w:tcBorders>
            <w:shd w:val="clear" w:color="auto" w:fill="D9D9D9" w:themeFill="background1" w:themeFillShade="D9"/>
            <w:vAlign w:val="center"/>
          </w:tcPr>
          <w:p w:rsidR="008C0E0E" w:rsidRPr="000A6B0A" w:rsidRDefault="007F2C5C">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8"/>
            </w:r>
          </w:p>
        </w:tc>
      </w:tr>
      <w:tr w:rsidR="008C0E0E" w:rsidRPr="000A6B0A" w:rsidTr="00DA6962">
        <w:trPr>
          <w:cantSplit/>
          <w:trHeight w:val="56"/>
          <w:jc w:val="center"/>
        </w:trPr>
        <w:tc>
          <w:tcPr>
            <w:tcW w:w="1715" w:type="dxa"/>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Germany  </w:t>
            </w:r>
          </w:p>
        </w:tc>
        <w:tc>
          <w:tcPr>
            <w:tcW w:w="1310" w:type="dxa"/>
            <w:vAlign w:val="center"/>
          </w:tcPr>
          <w:p w:rsidR="008C0E0E" w:rsidRPr="008949E3" w:rsidRDefault="008C0E0E"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vAlign w:val="center"/>
          </w:tcPr>
          <w:p w:rsidR="008C0E0E" w:rsidRPr="008949E3" w:rsidRDefault="008C0E0E">
            <w:pPr>
              <w:jc w:val="center"/>
              <w:rPr>
                <w:rFonts w:ascii="Calibri" w:hAnsi="Calibri"/>
                <w:b/>
                <w:color w:val="008000"/>
                <w:sz w:val="28"/>
                <w:szCs w:val="28"/>
                <w:lang w:val="en-GB"/>
              </w:rPr>
            </w:pPr>
            <w:r w:rsidRPr="000A6B0A">
              <w:rPr>
                <w:rFonts w:ascii="Wingdings 2" w:hAnsi="Wingdings 2"/>
                <w:b/>
                <w:color w:val="800000"/>
                <w:sz w:val="28"/>
                <w:szCs w:val="28"/>
                <w:lang w:val="en-GB"/>
              </w:rPr>
              <w:t></w:t>
            </w:r>
          </w:p>
        </w:tc>
        <w:tc>
          <w:tcPr>
            <w:tcW w:w="796"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8C0E0E" w:rsidRPr="00DA6962" w:rsidRDefault="000D77BF">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12" w:type="dxa"/>
            <w:vAlign w:val="center"/>
          </w:tcPr>
          <w:p w:rsidR="008C0E0E" w:rsidRPr="000A6B0A" w:rsidRDefault="000D77BF">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1265" w:type="dxa"/>
            <w:vAlign w:val="center"/>
          </w:tcPr>
          <w:p w:rsidR="008C0E0E" w:rsidRPr="000A6B0A" w:rsidRDefault="008C0E0E">
            <w:pPr>
              <w:jc w:val="center"/>
              <w:rPr>
                <w:rFonts w:ascii="Calibri" w:hAnsi="Calibri" w:cs="Calibri"/>
                <w:i/>
                <w:sz w:val="16"/>
                <w:szCs w:val="20"/>
                <w:lang w:val="en-GB"/>
              </w:rPr>
            </w:pPr>
            <w:r w:rsidRPr="000A6B0A">
              <w:rPr>
                <w:rFonts w:ascii="Wingdings 2" w:hAnsi="Wingdings 2"/>
                <w:b/>
                <w:color w:val="008000"/>
                <w:sz w:val="28"/>
                <w:szCs w:val="28"/>
                <w:lang w:val="en-GB"/>
              </w:rPr>
              <w:t></w:t>
            </w:r>
          </w:p>
        </w:tc>
        <w:tc>
          <w:tcPr>
            <w:tcW w:w="1388" w:type="dxa"/>
            <w:vAlign w:val="center"/>
          </w:tcPr>
          <w:p w:rsidR="008C0E0E" w:rsidRPr="000A6B0A" w:rsidRDefault="008C0E0E">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28" w:type="dxa"/>
            <w:vAlign w:val="center"/>
          </w:tcPr>
          <w:p w:rsidR="008C0E0E" w:rsidRPr="00DA6962" w:rsidRDefault="000D77BF">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F76292" w:rsidRPr="000A6B0A" w:rsidTr="0086605D">
        <w:trPr>
          <w:trHeight w:val="56"/>
          <w:jc w:val="center"/>
        </w:trPr>
        <w:tc>
          <w:tcPr>
            <w:tcW w:w="1715" w:type="dxa"/>
            <w:shd w:val="clear" w:color="auto" w:fill="D9D9D9" w:themeFill="background1" w:themeFillShade="D9"/>
            <w:vAlign w:val="center"/>
          </w:tcPr>
          <w:p w:rsidR="00F76292" w:rsidRPr="000A6B0A" w:rsidRDefault="00F7629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Greece</w:t>
            </w:r>
          </w:p>
        </w:tc>
        <w:tc>
          <w:tcPr>
            <w:tcW w:w="1310" w:type="dxa"/>
            <w:shd w:val="clear" w:color="auto" w:fill="D9D9D9" w:themeFill="background1" w:themeFillShade="D9"/>
            <w:vAlign w:val="center"/>
          </w:tcPr>
          <w:p w:rsidR="00F76292" w:rsidRPr="00DA6962" w:rsidRDefault="00DA6962" w:rsidP="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r w:rsidRPr="008949E3">
              <w:rPr>
                <w:rStyle w:val="Appelnotedebasdep"/>
                <w:rFonts w:asciiTheme="minorHAnsi" w:hAnsiTheme="minorHAnsi"/>
                <w:b/>
                <w:sz w:val="20"/>
                <w:szCs w:val="20"/>
                <w:lang w:val="en-GB"/>
              </w:rPr>
              <w:footnoteReference w:id="9"/>
            </w:r>
          </w:p>
        </w:tc>
        <w:tc>
          <w:tcPr>
            <w:tcW w:w="1313" w:type="dxa"/>
            <w:shd w:val="clear" w:color="auto" w:fill="D9D9D9" w:themeFill="background1" w:themeFillShade="D9"/>
            <w:vAlign w:val="center"/>
          </w:tcPr>
          <w:p w:rsidR="00F76292" w:rsidRPr="000A6B0A" w:rsidRDefault="00F76292">
            <w:pPr>
              <w:jc w:val="center"/>
              <w:rPr>
                <w:rFonts w:ascii="Calibri" w:hAnsi="Calibri" w:cs="Calibri"/>
                <w:i/>
                <w:color w:val="808080"/>
                <w:sz w:val="22"/>
                <w:szCs w:val="22"/>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F76292" w:rsidRPr="000A6B0A" w:rsidRDefault="00F76292">
            <w:pPr>
              <w:jc w:val="center"/>
              <w:rPr>
                <w:rFonts w:ascii="Calibri" w:hAnsi="Calibri" w:cs="Calibri"/>
                <w:i/>
                <w:color w:val="808080"/>
                <w:sz w:val="22"/>
                <w:szCs w:val="22"/>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F76292" w:rsidRPr="000A6B0A" w:rsidRDefault="00F7629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12" w:type="dxa"/>
            <w:shd w:val="clear" w:color="auto" w:fill="D9D9D9" w:themeFill="background1" w:themeFillShade="D9"/>
            <w:vAlign w:val="center"/>
          </w:tcPr>
          <w:p w:rsidR="00F76292" w:rsidRPr="000A6B0A" w:rsidRDefault="00F76292">
            <w:pPr>
              <w:jc w:val="center"/>
              <w:rPr>
                <w:rFonts w:ascii="Calibri" w:hAnsi="Calibri" w:cs="Calibri"/>
                <w:i/>
                <w:color w:val="808080"/>
                <w:sz w:val="22"/>
                <w:szCs w:val="22"/>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F76292" w:rsidRPr="000A6B0A" w:rsidRDefault="00F7629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88" w:type="dxa"/>
            <w:shd w:val="clear" w:color="auto" w:fill="D9D9D9" w:themeFill="background1" w:themeFillShade="D9"/>
            <w:vAlign w:val="center"/>
          </w:tcPr>
          <w:p w:rsidR="00F76292" w:rsidRPr="000A6B0A" w:rsidRDefault="00F7629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F76292" w:rsidRPr="000A6B0A" w:rsidRDefault="00F7629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D5FD9" w:rsidRPr="000A6B0A" w:rsidTr="008949E3">
        <w:trPr>
          <w:trHeight w:val="56"/>
          <w:jc w:val="center"/>
        </w:trPr>
        <w:tc>
          <w:tcPr>
            <w:tcW w:w="1715" w:type="dxa"/>
            <w:vAlign w:val="center"/>
          </w:tcPr>
          <w:p w:rsidR="00FD5FD9" w:rsidRPr="000A6B0A" w:rsidRDefault="00FD5FD9"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Hungary </w:t>
            </w:r>
          </w:p>
        </w:tc>
        <w:tc>
          <w:tcPr>
            <w:tcW w:w="1310" w:type="dxa"/>
            <w:vAlign w:val="center"/>
          </w:tcPr>
          <w:p w:rsidR="00FD5FD9" w:rsidRPr="000A6B0A" w:rsidRDefault="00FD5FD9" w:rsidP="00B26AF2">
            <w:pPr>
              <w:jc w:val="center"/>
              <w:rPr>
                <w:rFonts w:ascii="Calibri" w:hAnsi="Calibri" w:cs="Calibri"/>
                <w:color w:val="008000"/>
                <w:sz w:val="20"/>
                <w:szCs w:val="20"/>
                <w:highlight w:val="yellow"/>
                <w:lang w:val="en-GB"/>
              </w:rPr>
            </w:pPr>
            <w:r w:rsidRPr="000A6B0A">
              <w:rPr>
                <w:rFonts w:ascii="Wingdings 2" w:hAnsi="Wingdings 2"/>
                <w:b/>
                <w:color w:val="008000"/>
                <w:sz w:val="28"/>
                <w:szCs w:val="28"/>
                <w:lang w:val="en-GB"/>
              </w:rPr>
              <w:t></w:t>
            </w:r>
          </w:p>
        </w:tc>
        <w:tc>
          <w:tcPr>
            <w:tcW w:w="1313" w:type="dxa"/>
            <w:vAlign w:val="center"/>
          </w:tcPr>
          <w:p w:rsidR="00FD5FD9" w:rsidRPr="000A6B0A" w:rsidRDefault="00FD5FD9">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vAlign w:val="center"/>
          </w:tcPr>
          <w:p w:rsidR="00FD5FD9" w:rsidRPr="000A6B0A" w:rsidRDefault="00FD5FD9">
            <w:pPr>
              <w:jc w:val="center"/>
              <w:rPr>
                <w:rFonts w:ascii="Wingdings 2" w:hAnsi="Wingdings 2"/>
                <w:b/>
                <w:sz w:val="28"/>
                <w:szCs w:val="28"/>
                <w:lang w:val="en-GB"/>
              </w:rPr>
            </w:pPr>
            <w:r w:rsidRPr="000A6B0A">
              <w:rPr>
                <w:rFonts w:ascii="Wingdings 2" w:hAnsi="Wingdings 2"/>
                <w:b/>
                <w:color w:val="008000"/>
                <w:sz w:val="28"/>
                <w:szCs w:val="28"/>
                <w:lang w:val="en-GB"/>
              </w:rPr>
              <w:t></w:t>
            </w:r>
          </w:p>
        </w:tc>
        <w:tc>
          <w:tcPr>
            <w:tcW w:w="1287" w:type="dxa"/>
            <w:vAlign w:val="center"/>
          </w:tcPr>
          <w:p w:rsidR="00FD5FD9" w:rsidRPr="000A6B0A" w:rsidRDefault="00FD5FD9">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vAlign w:val="center"/>
          </w:tcPr>
          <w:p w:rsidR="00FD5FD9" w:rsidRPr="000A6B0A" w:rsidRDefault="00FD5FD9">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vAlign w:val="center"/>
          </w:tcPr>
          <w:p w:rsidR="00FD5FD9" w:rsidRPr="000A6B0A" w:rsidRDefault="00FD5FD9">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88" w:type="dxa"/>
            <w:vAlign w:val="center"/>
          </w:tcPr>
          <w:p w:rsidR="00FD5FD9" w:rsidRPr="000A6B0A" w:rsidRDefault="00FD5FD9">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28" w:type="dxa"/>
            <w:vAlign w:val="center"/>
          </w:tcPr>
          <w:p w:rsidR="00FD5FD9" w:rsidRPr="000A6B0A" w:rsidRDefault="00FD5FD9">
            <w:pPr>
              <w:jc w:val="center"/>
              <w:rPr>
                <w:rFonts w:asciiTheme="minorHAnsi" w:hAnsiTheme="minorHAnsi"/>
                <w:color w:val="008000"/>
                <w:sz w:val="28"/>
                <w:szCs w:val="28"/>
                <w:lang w:val="en-GB"/>
              </w:rPr>
            </w:pPr>
            <w:r w:rsidRPr="00DA6962">
              <w:rPr>
                <w:rFonts w:asciiTheme="minorHAnsi" w:hAnsiTheme="minorHAnsi"/>
                <w:sz w:val="20"/>
                <w:szCs w:val="28"/>
                <w:lang w:val="en-GB"/>
              </w:rPr>
              <w:t>n/a</w:t>
            </w:r>
          </w:p>
        </w:tc>
      </w:tr>
      <w:tr w:rsidR="00BB705B" w:rsidRPr="000A6B0A" w:rsidTr="0086605D">
        <w:trPr>
          <w:trHeight w:val="56"/>
          <w:jc w:val="center"/>
        </w:trPr>
        <w:tc>
          <w:tcPr>
            <w:tcW w:w="1715" w:type="dxa"/>
            <w:shd w:val="clear" w:color="auto" w:fill="D9D9D9" w:themeFill="background1" w:themeFillShade="D9"/>
            <w:vAlign w:val="center"/>
          </w:tcPr>
          <w:p w:rsidR="00BB705B" w:rsidRPr="000A6B0A" w:rsidRDefault="00BB705B"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Italy </w:t>
            </w:r>
          </w:p>
        </w:tc>
        <w:tc>
          <w:tcPr>
            <w:tcW w:w="1310" w:type="dxa"/>
            <w:shd w:val="clear" w:color="auto" w:fill="D9D9D9" w:themeFill="background1" w:themeFillShade="D9"/>
            <w:vAlign w:val="center"/>
          </w:tcPr>
          <w:p w:rsidR="00BB705B" w:rsidRPr="0007753C" w:rsidRDefault="00BB705B"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BB705B" w:rsidRPr="000A6B0A" w:rsidRDefault="00BB705B" w:rsidP="0086605D">
            <w:pPr>
              <w:pStyle w:val="Tabellenkopf"/>
              <w:spacing w:before="0" w:after="0"/>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BB705B" w:rsidRPr="000A6B0A" w:rsidRDefault="00BB705B" w:rsidP="00B26AF2">
            <w:pPr>
              <w:jc w:val="center"/>
              <w:rPr>
                <w:rFonts w:ascii="Wingdings 2" w:hAnsi="Wingdings 2"/>
                <w:b/>
                <w:sz w:val="28"/>
                <w:szCs w:val="28"/>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BB705B" w:rsidRPr="000A6B0A" w:rsidRDefault="00BB705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shd w:val="clear" w:color="auto" w:fill="D9D9D9" w:themeFill="background1" w:themeFillShade="D9"/>
            <w:vAlign w:val="center"/>
          </w:tcPr>
          <w:p w:rsidR="00BB705B" w:rsidRPr="000A6B0A" w:rsidRDefault="00BB705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BB705B" w:rsidRPr="000A6B0A" w:rsidRDefault="00BB705B">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88" w:type="dxa"/>
            <w:shd w:val="clear" w:color="auto" w:fill="D9D9D9" w:themeFill="background1" w:themeFillShade="D9"/>
            <w:vAlign w:val="center"/>
          </w:tcPr>
          <w:p w:rsidR="00BB705B" w:rsidRPr="000A6B0A" w:rsidRDefault="00BB705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BB705B" w:rsidRPr="000A6B0A" w:rsidRDefault="00BB705B">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8C0E0E" w:rsidRPr="000A6B0A" w:rsidTr="008949E3">
        <w:trPr>
          <w:trHeight w:val="56"/>
          <w:jc w:val="center"/>
        </w:trPr>
        <w:tc>
          <w:tcPr>
            <w:tcW w:w="1715" w:type="dxa"/>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Latvia </w:t>
            </w:r>
          </w:p>
        </w:tc>
        <w:tc>
          <w:tcPr>
            <w:tcW w:w="1310" w:type="dxa"/>
            <w:vAlign w:val="center"/>
          </w:tcPr>
          <w:p w:rsidR="008C0E0E" w:rsidRPr="000A6B0A" w:rsidRDefault="008C0E0E" w:rsidP="00B26AF2">
            <w:pPr>
              <w:jc w:val="center"/>
              <w:rPr>
                <w:rFonts w:ascii="Wingdings 2" w:hAnsi="Wingdings 2"/>
                <w:b/>
                <w:color w:val="0000FF"/>
                <w:sz w:val="28"/>
                <w:szCs w:val="28"/>
                <w:highlight w:val="yellow"/>
                <w:lang w:val="en-GB"/>
              </w:rPr>
            </w:pPr>
            <w:r w:rsidRPr="000A6B0A">
              <w:rPr>
                <w:rFonts w:ascii="Wingdings 2" w:hAnsi="Wingdings 2"/>
                <w:b/>
                <w:color w:val="008000"/>
                <w:sz w:val="28"/>
                <w:szCs w:val="28"/>
                <w:lang w:val="en-GB"/>
              </w:rPr>
              <w:t></w:t>
            </w:r>
          </w:p>
        </w:tc>
        <w:tc>
          <w:tcPr>
            <w:tcW w:w="1313" w:type="dxa"/>
            <w:vAlign w:val="center"/>
          </w:tcPr>
          <w:p w:rsidR="008C0E0E" w:rsidRPr="000A6B0A" w:rsidRDefault="008C0E0E" w:rsidP="0086605D">
            <w:pPr>
              <w:pStyle w:val="Tabellenkopf"/>
              <w:spacing w:before="0" w:after="0"/>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vAlign w:val="center"/>
          </w:tcPr>
          <w:p w:rsidR="00B8335F" w:rsidRPr="008949E3" w:rsidRDefault="008C0E0E" w:rsidP="00B26AF2">
            <w:pPr>
              <w:jc w:val="center"/>
              <w:rPr>
                <w:rFonts w:ascii="Calibri" w:hAnsi="Calibri" w:cs="Calibri"/>
                <w:i/>
                <w:color w:val="0000FF"/>
                <w:sz w:val="16"/>
                <w:szCs w:val="20"/>
                <w:lang w:val="en-GB"/>
              </w:rPr>
            </w:pPr>
            <w:r w:rsidRPr="000A6B0A">
              <w:rPr>
                <w:rFonts w:ascii="Wingdings 2" w:hAnsi="Wingdings 2"/>
                <w:b/>
                <w:color w:val="008000"/>
                <w:sz w:val="28"/>
                <w:szCs w:val="28"/>
                <w:lang w:val="en-GB"/>
              </w:rPr>
              <w:t></w:t>
            </w:r>
            <w:r w:rsidR="008949E3" w:rsidRPr="008949E3">
              <w:rPr>
                <w:rStyle w:val="Appelnotedebasdep"/>
                <w:rFonts w:asciiTheme="minorHAnsi" w:hAnsiTheme="minorHAnsi"/>
                <w:b/>
                <w:sz w:val="20"/>
                <w:szCs w:val="20"/>
                <w:lang w:val="en-GB"/>
              </w:rPr>
              <w:footnoteReference w:id="10"/>
            </w:r>
          </w:p>
        </w:tc>
        <w:tc>
          <w:tcPr>
            <w:tcW w:w="1287"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vAlign w:val="center"/>
          </w:tcPr>
          <w:p w:rsidR="008C0E0E" w:rsidRPr="000A6B0A" w:rsidRDefault="00D113B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11"/>
            </w:r>
          </w:p>
        </w:tc>
        <w:tc>
          <w:tcPr>
            <w:tcW w:w="1265" w:type="dxa"/>
            <w:vAlign w:val="center"/>
          </w:tcPr>
          <w:p w:rsidR="008C0E0E" w:rsidRPr="008949E3" w:rsidRDefault="00D113B2">
            <w:pPr>
              <w:jc w:val="center"/>
              <w:rPr>
                <w:rFonts w:asciiTheme="minorHAnsi" w:hAnsiTheme="minorHAnsi"/>
                <w:color w:val="008000"/>
                <w:sz w:val="20"/>
                <w:szCs w:val="28"/>
                <w:lang w:val="en-GB"/>
              </w:rPr>
            </w:pPr>
            <w:r w:rsidRPr="000A6B0A">
              <w:rPr>
                <w:rFonts w:ascii="Wingdings 2" w:hAnsi="Wingdings 2"/>
                <w:b/>
                <w:color w:val="800000"/>
                <w:sz w:val="28"/>
                <w:szCs w:val="28"/>
                <w:lang w:val="en-GB"/>
              </w:rPr>
              <w:t></w:t>
            </w:r>
          </w:p>
        </w:tc>
        <w:tc>
          <w:tcPr>
            <w:tcW w:w="1388" w:type="dxa"/>
            <w:vAlign w:val="center"/>
          </w:tcPr>
          <w:p w:rsidR="008C0E0E" w:rsidRPr="008949E3" w:rsidRDefault="00D113B2">
            <w:pPr>
              <w:jc w:val="center"/>
              <w:rPr>
                <w:rFonts w:asciiTheme="minorHAnsi" w:hAnsiTheme="minorHAnsi"/>
                <w:color w:val="008000"/>
                <w:sz w:val="20"/>
                <w:szCs w:val="28"/>
                <w:lang w:val="en-GB"/>
              </w:rPr>
            </w:pPr>
            <w:r w:rsidRPr="000A6B0A">
              <w:rPr>
                <w:rFonts w:ascii="Wingdings 2" w:hAnsi="Wingdings 2"/>
                <w:b/>
                <w:color w:val="800000"/>
                <w:sz w:val="28"/>
                <w:szCs w:val="28"/>
                <w:lang w:val="en-GB"/>
              </w:rPr>
              <w:t></w:t>
            </w:r>
          </w:p>
        </w:tc>
        <w:tc>
          <w:tcPr>
            <w:tcW w:w="1628" w:type="dxa"/>
            <w:vAlign w:val="center"/>
          </w:tcPr>
          <w:p w:rsidR="008C0E0E" w:rsidRPr="008949E3" w:rsidRDefault="00D113B2">
            <w:pPr>
              <w:jc w:val="center"/>
              <w:rPr>
                <w:rFonts w:asciiTheme="minorHAnsi" w:hAnsiTheme="minorHAnsi"/>
                <w:color w:val="008000"/>
                <w:sz w:val="20"/>
                <w:szCs w:val="28"/>
                <w:lang w:val="en-GB"/>
              </w:rPr>
            </w:pPr>
            <w:r w:rsidRPr="000A6B0A">
              <w:rPr>
                <w:rFonts w:ascii="Wingdings 2" w:hAnsi="Wingdings 2"/>
                <w:b/>
                <w:color w:val="800000"/>
                <w:sz w:val="28"/>
                <w:szCs w:val="28"/>
                <w:lang w:val="en-GB"/>
              </w:rPr>
              <w:t></w:t>
            </w:r>
            <w:r w:rsidRPr="008949E3">
              <w:rPr>
                <w:rStyle w:val="Appelnotedebasdep"/>
                <w:rFonts w:asciiTheme="minorHAnsi" w:hAnsiTheme="minorHAnsi"/>
                <w:b/>
                <w:sz w:val="20"/>
                <w:szCs w:val="20"/>
                <w:lang w:val="en-GB"/>
              </w:rPr>
              <w:footnoteReference w:id="12"/>
            </w:r>
          </w:p>
        </w:tc>
      </w:tr>
      <w:tr w:rsidR="00291272" w:rsidRPr="000A6B0A" w:rsidTr="0086605D">
        <w:trPr>
          <w:trHeight w:val="56"/>
          <w:jc w:val="center"/>
        </w:trPr>
        <w:tc>
          <w:tcPr>
            <w:tcW w:w="1715"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Luxemburg</w:t>
            </w:r>
          </w:p>
        </w:tc>
        <w:tc>
          <w:tcPr>
            <w:tcW w:w="1310"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color w:val="0000FF"/>
                <w:sz w:val="22"/>
                <w:szCs w:val="22"/>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color w:val="0000FF"/>
                <w:sz w:val="22"/>
                <w:szCs w:val="22"/>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color w:val="0000FF"/>
                <w:sz w:val="22"/>
                <w:szCs w:val="22"/>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color w:val="0000FF"/>
                <w:sz w:val="22"/>
                <w:szCs w:val="22"/>
                <w:lang w:val="en-GB"/>
              </w:rPr>
            </w:pPr>
            <w:r w:rsidRPr="000A6B0A">
              <w:rPr>
                <w:rFonts w:ascii="Wingdings 2" w:hAnsi="Wingdings 2"/>
                <w:b/>
                <w:color w:val="800000"/>
                <w:sz w:val="28"/>
                <w:szCs w:val="28"/>
                <w:lang w:val="en-GB"/>
              </w:rPr>
              <w:t></w:t>
            </w:r>
          </w:p>
        </w:tc>
        <w:tc>
          <w:tcPr>
            <w:tcW w:w="1312" w:type="dxa"/>
            <w:shd w:val="clear" w:color="auto" w:fill="D9D9D9" w:themeFill="background1" w:themeFillShade="D9"/>
            <w:vAlign w:val="center"/>
          </w:tcPr>
          <w:p w:rsidR="00291272" w:rsidRPr="000A6B0A" w:rsidRDefault="00291272" w:rsidP="0086605D">
            <w:pPr>
              <w:pStyle w:val="Tabellenkopf"/>
              <w:spacing w:before="0" w:after="0"/>
              <w:jc w:val="center"/>
              <w:rPr>
                <w:rFonts w:ascii="Calibri" w:hAnsi="Calibri" w:cs="Calibri"/>
                <w:b/>
                <w:color w:val="0000FF"/>
                <w:sz w:val="22"/>
                <w:szCs w:val="22"/>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291272" w:rsidRPr="008949E3" w:rsidRDefault="00291272" w:rsidP="00B26AF2">
            <w:pPr>
              <w:jc w:val="center"/>
              <w:rPr>
                <w:rFonts w:asciiTheme="minorHAnsi" w:hAnsiTheme="minorHAnsi"/>
                <w:color w:val="008000"/>
                <w:sz w:val="20"/>
                <w:szCs w:val="28"/>
                <w:lang w:val="en-GB"/>
              </w:rPr>
            </w:pPr>
            <w:r w:rsidRPr="008949E3">
              <w:rPr>
                <w:rFonts w:asciiTheme="minorHAnsi" w:hAnsiTheme="minorHAnsi"/>
                <w:sz w:val="20"/>
                <w:szCs w:val="28"/>
                <w:lang w:val="en-GB"/>
              </w:rPr>
              <w:t>n/a</w:t>
            </w:r>
          </w:p>
        </w:tc>
        <w:tc>
          <w:tcPr>
            <w:tcW w:w="1388" w:type="dxa"/>
            <w:shd w:val="clear" w:color="auto" w:fill="D9D9D9" w:themeFill="background1" w:themeFillShade="D9"/>
            <w:vAlign w:val="center"/>
          </w:tcPr>
          <w:p w:rsidR="00291272" w:rsidRPr="008949E3" w:rsidRDefault="00291272">
            <w:pPr>
              <w:jc w:val="center"/>
              <w:rPr>
                <w:rFonts w:asciiTheme="minorHAnsi" w:hAnsiTheme="minorHAnsi"/>
                <w:color w:val="008000"/>
                <w:sz w:val="20"/>
                <w:szCs w:val="28"/>
                <w:lang w:val="en-GB"/>
              </w:rPr>
            </w:pPr>
            <w:r w:rsidRPr="008949E3">
              <w:rPr>
                <w:rFonts w:asciiTheme="minorHAnsi" w:hAnsiTheme="minorHAnsi"/>
                <w:sz w:val="20"/>
                <w:szCs w:val="28"/>
                <w:lang w:val="en-GB"/>
              </w:rPr>
              <w:t>n/a</w:t>
            </w:r>
          </w:p>
        </w:tc>
        <w:tc>
          <w:tcPr>
            <w:tcW w:w="1628" w:type="dxa"/>
            <w:shd w:val="clear" w:color="auto" w:fill="D9D9D9" w:themeFill="background1" w:themeFillShade="D9"/>
            <w:vAlign w:val="center"/>
          </w:tcPr>
          <w:p w:rsidR="00291272" w:rsidRPr="008949E3" w:rsidRDefault="00291272">
            <w:pPr>
              <w:jc w:val="center"/>
              <w:rPr>
                <w:rFonts w:asciiTheme="minorHAnsi" w:hAnsiTheme="minorHAnsi"/>
                <w:color w:val="008000"/>
                <w:sz w:val="20"/>
                <w:szCs w:val="28"/>
                <w:lang w:val="en-GB"/>
              </w:rPr>
            </w:pPr>
            <w:r w:rsidRPr="008949E3">
              <w:rPr>
                <w:rFonts w:asciiTheme="minorHAnsi" w:hAnsiTheme="minorHAnsi"/>
                <w:sz w:val="20"/>
                <w:szCs w:val="28"/>
                <w:lang w:val="en-GB"/>
              </w:rPr>
              <w:t>n/a</w:t>
            </w:r>
          </w:p>
        </w:tc>
      </w:tr>
      <w:tr w:rsidR="008C0E0E" w:rsidRPr="000A6B0A" w:rsidTr="008949E3">
        <w:trPr>
          <w:trHeight w:val="104"/>
          <w:jc w:val="center"/>
        </w:trPr>
        <w:tc>
          <w:tcPr>
            <w:tcW w:w="1715" w:type="dxa"/>
            <w:vAlign w:val="center"/>
          </w:tcPr>
          <w:p w:rsidR="008C0E0E" w:rsidRPr="000A6B0A" w:rsidRDefault="008C0E0E"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Netherlands </w:t>
            </w:r>
          </w:p>
        </w:tc>
        <w:tc>
          <w:tcPr>
            <w:tcW w:w="1310" w:type="dxa"/>
            <w:vAlign w:val="center"/>
          </w:tcPr>
          <w:p w:rsidR="008C0E0E" w:rsidRPr="000A6B0A" w:rsidRDefault="008C0E0E" w:rsidP="00B26AF2">
            <w:pPr>
              <w:jc w:val="center"/>
              <w:rPr>
                <w:rFonts w:ascii="Wingdings 2" w:hAnsi="Wingdings 2"/>
                <w:b/>
                <w:sz w:val="28"/>
                <w:szCs w:val="28"/>
                <w:lang w:val="en-GB"/>
              </w:rPr>
            </w:pPr>
            <w:r w:rsidRPr="000A6B0A">
              <w:rPr>
                <w:rFonts w:ascii="Wingdings 2" w:hAnsi="Wingdings 2"/>
                <w:b/>
                <w:color w:val="008000"/>
                <w:sz w:val="28"/>
                <w:szCs w:val="28"/>
                <w:lang w:val="en-GB"/>
              </w:rPr>
              <w:t></w:t>
            </w:r>
          </w:p>
        </w:tc>
        <w:tc>
          <w:tcPr>
            <w:tcW w:w="1313" w:type="dxa"/>
            <w:vAlign w:val="center"/>
          </w:tcPr>
          <w:p w:rsidR="008C0E0E" w:rsidRPr="008949E3"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6"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8C0E0E" w:rsidRPr="000A6B0A"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vAlign w:val="center"/>
          </w:tcPr>
          <w:p w:rsidR="008C0E0E" w:rsidRPr="008949E3" w:rsidRDefault="008C0E0E">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008949E3" w:rsidRPr="00DA6962">
              <w:rPr>
                <w:rStyle w:val="Appelnotedebasdep"/>
                <w:rFonts w:asciiTheme="minorHAnsi" w:hAnsiTheme="minorHAnsi"/>
                <w:b/>
                <w:sz w:val="20"/>
                <w:szCs w:val="20"/>
                <w:lang w:val="en-GB"/>
              </w:rPr>
              <w:footnoteReference w:id="13"/>
            </w:r>
          </w:p>
        </w:tc>
        <w:tc>
          <w:tcPr>
            <w:tcW w:w="1265" w:type="dxa"/>
            <w:vAlign w:val="center"/>
          </w:tcPr>
          <w:p w:rsidR="008C0E0E" w:rsidRPr="008949E3"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88" w:type="dxa"/>
            <w:vAlign w:val="center"/>
          </w:tcPr>
          <w:p w:rsidR="008C0E0E" w:rsidRPr="008949E3"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vAlign w:val="center"/>
          </w:tcPr>
          <w:p w:rsidR="008C0E0E" w:rsidRPr="008949E3" w:rsidRDefault="008C0E0E">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7F2C5C" w:rsidRPr="000A6B0A" w:rsidTr="0086605D">
        <w:trPr>
          <w:trHeight w:val="104"/>
          <w:jc w:val="center"/>
        </w:trPr>
        <w:tc>
          <w:tcPr>
            <w:tcW w:w="1715" w:type="dxa"/>
            <w:shd w:val="clear" w:color="auto" w:fill="D9D9D9" w:themeFill="background1" w:themeFillShade="D9"/>
            <w:vAlign w:val="center"/>
          </w:tcPr>
          <w:p w:rsidR="007F2C5C" w:rsidRPr="000A6B0A" w:rsidRDefault="007F2C5C" w:rsidP="0086605D">
            <w:pPr>
              <w:pStyle w:val="Tabellenkopf"/>
              <w:spacing w:before="0" w:after="0"/>
              <w:jc w:val="center"/>
              <w:rPr>
                <w:rFonts w:ascii="Calibri" w:hAnsi="Calibri" w:cs="Calibri"/>
                <w:b/>
                <w:sz w:val="20"/>
                <w:lang w:val="en-GB"/>
              </w:rPr>
            </w:pPr>
            <w:r>
              <w:rPr>
                <w:rFonts w:ascii="Calibri" w:hAnsi="Calibri" w:cs="Calibri"/>
                <w:b/>
                <w:sz w:val="20"/>
                <w:lang w:val="en-GB"/>
              </w:rPr>
              <w:lastRenderedPageBreak/>
              <w:t>Norway</w:t>
            </w:r>
          </w:p>
        </w:tc>
        <w:tc>
          <w:tcPr>
            <w:tcW w:w="1310" w:type="dxa"/>
            <w:shd w:val="clear" w:color="auto" w:fill="D9D9D9" w:themeFill="background1" w:themeFillShade="D9"/>
            <w:vAlign w:val="center"/>
          </w:tcPr>
          <w:p w:rsidR="007F2C5C" w:rsidRPr="000A6B0A" w:rsidRDefault="007F2C5C"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7F2C5C" w:rsidRPr="000A6B0A" w:rsidRDefault="007F2C5C">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7F2C5C" w:rsidRPr="000A6B0A" w:rsidRDefault="007F2C5C">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87" w:type="dxa"/>
            <w:shd w:val="clear" w:color="auto" w:fill="D9D9D9" w:themeFill="background1" w:themeFillShade="D9"/>
            <w:vAlign w:val="center"/>
          </w:tcPr>
          <w:p w:rsidR="007F2C5C" w:rsidRPr="000A6B0A" w:rsidRDefault="007F2C5C">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shd w:val="clear" w:color="auto" w:fill="D9D9D9" w:themeFill="background1" w:themeFillShade="D9"/>
            <w:vAlign w:val="center"/>
          </w:tcPr>
          <w:p w:rsidR="007F2C5C" w:rsidRPr="000A6B0A" w:rsidRDefault="007F2C5C">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7F2C5C" w:rsidRPr="000A6B0A" w:rsidRDefault="007F2C5C">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88" w:type="dxa"/>
            <w:shd w:val="clear" w:color="auto" w:fill="D9D9D9" w:themeFill="background1" w:themeFillShade="D9"/>
            <w:vAlign w:val="center"/>
          </w:tcPr>
          <w:p w:rsidR="007F2C5C" w:rsidRPr="000A6B0A" w:rsidRDefault="007F2C5C">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7F2C5C" w:rsidRPr="000A6B0A" w:rsidRDefault="007F2C5C">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6C5F50" w:rsidRPr="000A6B0A" w:rsidTr="008949E3">
        <w:trPr>
          <w:trHeight w:val="56"/>
          <w:jc w:val="center"/>
        </w:trPr>
        <w:tc>
          <w:tcPr>
            <w:tcW w:w="1715" w:type="dxa"/>
            <w:tcBorders>
              <w:top w:val="single" w:sz="4" w:space="0" w:color="auto"/>
              <w:left w:val="single" w:sz="4" w:space="0" w:color="auto"/>
              <w:bottom w:val="single" w:sz="4" w:space="0" w:color="auto"/>
              <w:right w:val="single" w:sz="4" w:space="0" w:color="auto"/>
            </w:tcBorders>
            <w:vAlign w:val="center"/>
            <w:hideMark/>
          </w:tcPr>
          <w:p w:rsidR="006C5F50" w:rsidRPr="000A6B0A" w:rsidRDefault="006C5F50" w:rsidP="0086605D">
            <w:pPr>
              <w:pStyle w:val="Tabellenkopf"/>
              <w:spacing w:before="0" w:after="0"/>
              <w:jc w:val="center"/>
              <w:rPr>
                <w:lang w:val="en-GB"/>
              </w:rPr>
            </w:pPr>
            <w:r w:rsidRPr="000A6B0A">
              <w:rPr>
                <w:rFonts w:ascii="Calibri" w:hAnsi="Calibri" w:cs="Calibri"/>
                <w:b/>
                <w:sz w:val="20"/>
                <w:lang w:val="en-GB"/>
              </w:rPr>
              <w:t>Poland</w:t>
            </w:r>
          </w:p>
        </w:tc>
        <w:tc>
          <w:tcPr>
            <w:tcW w:w="1310" w:type="dxa"/>
            <w:tcBorders>
              <w:top w:val="single" w:sz="4" w:space="0" w:color="auto"/>
              <w:left w:val="single" w:sz="4" w:space="0" w:color="auto"/>
              <w:bottom w:val="single" w:sz="4" w:space="0" w:color="auto"/>
              <w:right w:val="single" w:sz="4" w:space="0" w:color="auto"/>
            </w:tcBorders>
            <w:vAlign w:val="center"/>
            <w:hideMark/>
          </w:tcPr>
          <w:p w:rsidR="006C5F50" w:rsidRPr="000A6B0A" w:rsidRDefault="006C5F50"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tcBorders>
              <w:top w:val="single" w:sz="4" w:space="0" w:color="auto"/>
              <w:left w:val="single" w:sz="4" w:space="0" w:color="auto"/>
              <w:bottom w:val="single" w:sz="4" w:space="0" w:color="auto"/>
              <w:right w:val="single" w:sz="4" w:space="0" w:color="auto"/>
            </w:tcBorders>
            <w:vAlign w:val="center"/>
            <w:hideMark/>
          </w:tcPr>
          <w:p w:rsidR="006C5F50" w:rsidRPr="000A6B0A" w:rsidRDefault="006C5F50">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6" w:type="dxa"/>
            <w:tcBorders>
              <w:top w:val="single" w:sz="4" w:space="0" w:color="auto"/>
              <w:left w:val="single" w:sz="4" w:space="0" w:color="auto"/>
              <w:bottom w:val="single" w:sz="4" w:space="0" w:color="auto"/>
              <w:right w:val="single" w:sz="4" w:space="0" w:color="auto"/>
            </w:tcBorders>
            <w:vAlign w:val="center"/>
            <w:hideMark/>
          </w:tcPr>
          <w:p w:rsidR="006C5F50" w:rsidRPr="000A6B0A" w:rsidRDefault="006C5F5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tcBorders>
              <w:top w:val="single" w:sz="4" w:space="0" w:color="auto"/>
              <w:left w:val="single" w:sz="4" w:space="0" w:color="auto"/>
              <w:bottom w:val="single" w:sz="4" w:space="0" w:color="auto"/>
              <w:right w:val="single" w:sz="4" w:space="0" w:color="auto"/>
            </w:tcBorders>
            <w:vAlign w:val="center"/>
            <w:hideMark/>
          </w:tcPr>
          <w:p w:rsidR="006C5F50" w:rsidRPr="000A6B0A" w:rsidRDefault="006C5F5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008949E3" w:rsidRPr="008949E3">
              <w:rPr>
                <w:rStyle w:val="Appelnotedebasdep"/>
                <w:rFonts w:asciiTheme="minorHAnsi" w:hAnsiTheme="minorHAnsi"/>
                <w:b/>
                <w:sz w:val="20"/>
                <w:szCs w:val="20"/>
                <w:lang w:val="en-GB"/>
              </w:rPr>
              <w:footnoteReference w:id="14"/>
            </w:r>
          </w:p>
        </w:tc>
        <w:tc>
          <w:tcPr>
            <w:tcW w:w="1312" w:type="dxa"/>
            <w:tcBorders>
              <w:top w:val="single" w:sz="4" w:space="0" w:color="auto"/>
              <w:left w:val="single" w:sz="4" w:space="0" w:color="auto"/>
              <w:bottom w:val="single" w:sz="4" w:space="0" w:color="auto"/>
              <w:right w:val="single" w:sz="4" w:space="0" w:color="auto"/>
            </w:tcBorders>
            <w:vAlign w:val="center"/>
            <w:hideMark/>
          </w:tcPr>
          <w:p w:rsidR="006C5F50" w:rsidRPr="008949E3" w:rsidRDefault="006C5F50">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r w:rsidR="008949E3" w:rsidRPr="008949E3">
              <w:rPr>
                <w:rStyle w:val="Appelnotedebasdep"/>
                <w:rFonts w:asciiTheme="minorHAnsi" w:hAnsiTheme="minorHAnsi"/>
                <w:b/>
                <w:sz w:val="20"/>
                <w:szCs w:val="20"/>
                <w:lang w:val="en-GB"/>
              </w:rPr>
              <w:footnoteReference w:id="15"/>
            </w:r>
          </w:p>
        </w:tc>
        <w:tc>
          <w:tcPr>
            <w:tcW w:w="1265" w:type="dxa"/>
            <w:tcBorders>
              <w:top w:val="single" w:sz="4" w:space="0" w:color="auto"/>
              <w:left w:val="single" w:sz="4" w:space="0" w:color="auto"/>
              <w:bottom w:val="single" w:sz="4" w:space="0" w:color="auto"/>
              <w:right w:val="single" w:sz="4" w:space="0" w:color="auto"/>
            </w:tcBorders>
            <w:vAlign w:val="center"/>
          </w:tcPr>
          <w:p w:rsidR="006C5F50" w:rsidRPr="000A6B0A" w:rsidRDefault="006C5F50">
            <w:pPr>
              <w:jc w:val="center"/>
              <w:rPr>
                <w:rFonts w:asciiTheme="minorHAnsi" w:hAnsiTheme="minorHAnsi"/>
                <w:color w:val="008000"/>
                <w:sz w:val="28"/>
                <w:szCs w:val="28"/>
                <w:lang w:val="en-GB"/>
              </w:rPr>
            </w:pPr>
            <w:r w:rsidRPr="000A6B0A">
              <w:rPr>
                <w:rFonts w:ascii="Wingdings 2" w:hAnsi="Wingdings 2"/>
                <w:b/>
                <w:color w:val="008000"/>
                <w:sz w:val="28"/>
                <w:szCs w:val="28"/>
                <w:lang w:val="en-GB"/>
              </w:rPr>
              <w:t></w:t>
            </w:r>
          </w:p>
        </w:tc>
        <w:tc>
          <w:tcPr>
            <w:tcW w:w="1388" w:type="dxa"/>
            <w:tcBorders>
              <w:top w:val="single" w:sz="4" w:space="0" w:color="auto"/>
              <w:left w:val="single" w:sz="4" w:space="0" w:color="auto"/>
              <w:bottom w:val="single" w:sz="4" w:space="0" w:color="auto"/>
              <w:right w:val="single" w:sz="4" w:space="0" w:color="auto"/>
            </w:tcBorders>
            <w:vAlign w:val="center"/>
          </w:tcPr>
          <w:p w:rsidR="006C5F50" w:rsidRPr="000A6B0A" w:rsidRDefault="006C5F50">
            <w:pPr>
              <w:jc w:val="center"/>
              <w:rPr>
                <w:rFonts w:asciiTheme="minorHAnsi" w:hAnsiTheme="minorHAnsi"/>
                <w:color w:val="008000"/>
                <w:sz w:val="28"/>
                <w:szCs w:val="28"/>
                <w:lang w:val="en-GB"/>
              </w:rPr>
            </w:pPr>
            <w:r w:rsidRPr="000A6B0A">
              <w:rPr>
                <w:rFonts w:ascii="Wingdings 2" w:hAnsi="Wingdings 2"/>
                <w:b/>
                <w:color w:val="800000"/>
                <w:sz w:val="28"/>
                <w:szCs w:val="28"/>
                <w:lang w:val="en-GB"/>
              </w:rPr>
              <w:t></w:t>
            </w:r>
          </w:p>
        </w:tc>
        <w:tc>
          <w:tcPr>
            <w:tcW w:w="1628" w:type="dxa"/>
            <w:tcBorders>
              <w:top w:val="single" w:sz="4" w:space="0" w:color="auto"/>
              <w:left w:val="single" w:sz="4" w:space="0" w:color="auto"/>
              <w:bottom w:val="single" w:sz="4" w:space="0" w:color="auto"/>
              <w:right w:val="single" w:sz="4" w:space="0" w:color="auto"/>
            </w:tcBorders>
            <w:vAlign w:val="center"/>
          </w:tcPr>
          <w:p w:rsidR="006C5F50" w:rsidRPr="000A6B0A" w:rsidRDefault="006C5F50">
            <w:pPr>
              <w:jc w:val="center"/>
              <w:rPr>
                <w:rFonts w:asciiTheme="minorHAnsi" w:hAnsiTheme="minorHAnsi"/>
                <w:color w:val="008000"/>
                <w:sz w:val="28"/>
                <w:szCs w:val="28"/>
                <w:lang w:val="en-GB"/>
              </w:rPr>
            </w:pPr>
            <w:r w:rsidRPr="000A6B0A">
              <w:rPr>
                <w:rFonts w:ascii="Wingdings 2" w:hAnsi="Wingdings 2"/>
                <w:b/>
                <w:color w:val="008000"/>
                <w:sz w:val="28"/>
                <w:szCs w:val="28"/>
                <w:lang w:val="en-GB"/>
              </w:rPr>
              <w:t></w:t>
            </w:r>
          </w:p>
        </w:tc>
      </w:tr>
      <w:tr w:rsidR="00C34E0E" w:rsidRPr="000A6B0A" w:rsidTr="0086605D">
        <w:trPr>
          <w:trHeight w:val="56"/>
          <w:jc w:val="center"/>
        </w:trPr>
        <w:tc>
          <w:tcPr>
            <w:tcW w:w="1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rsidP="00B26AF2">
            <w:pPr>
              <w:jc w:val="center"/>
              <w:rPr>
                <w:rFonts w:ascii="Wingdings 2" w:hAnsi="Wingdings 2"/>
                <w:b/>
                <w:color w:val="008000"/>
                <w:sz w:val="28"/>
                <w:szCs w:val="28"/>
                <w:lang w:val="en-GB"/>
              </w:rPr>
            </w:pPr>
            <w:r>
              <w:rPr>
                <w:rFonts w:ascii="Wingdings 2" w:hAnsi="Wingdings 2"/>
                <w:b/>
                <w:color w:val="800000"/>
                <w:sz w:val="28"/>
                <w:szCs w:val="28"/>
                <w:lang w:val="en-GB"/>
              </w:rPr>
              <w:t></w:t>
            </w:r>
            <w:r>
              <w:rPr>
                <w:rStyle w:val="Appelnotedebasdep"/>
                <w:rFonts w:asciiTheme="minorHAnsi" w:hAnsiTheme="minorHAnsi"/>
                <w:b/>
                <w:lang w:val="en-GB"/>
              </w:rPr>
              <w:footnoteReference w:id="16"/>
            </w:r>
          </w:p>
        </w:tc>
        <w:tc>
          <w:tcPr>
            <w:tcW w:w="13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008000"/>
                <w:sz w:val="28"/>
                <w:szCs w:val="28"/>
                <w:lang w:val="en-GB"/>
              </w:rPr>
            </w:pPr>
            <w:r>
              <w:rPr>
                <w:rFonts w:ascii="Wingdings 2" w:hAnsi="Wingdings 2"/>
                <w:b/>
                <w:color w:val="008000"/>
                <w:sz w:val="28"/>
                <w:szCs w:val="28"/>
                <w:lang w:val="en-GB"/>
              </w:rPr>
              <w:t></w:t>
            </w:r>
            <w:r>
              <w:rPr>
                <w:rStyle w:val="Appelnotedebasdep"/>
                <w:rFonts w:asciiTheme="minorHAnsi" w:hAnsiTheme="minorHAnsi"/>
                <w:sz w:val="16"/>
                <w:szCs w:val="16"/>
                <w:lang w:val="en-GB" w:eastAsia="de-DE"/>
              </w:rPr>
              <w:footnoteReference w:id="17"/>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3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3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4E0E" w:rsidRPr="000A6B0A" w:rsidRDefault="00C34E0E">
            <w:pPr>
              <w:jc w:val="center"/>
              <w:rPr>
                <w:rFonts w:ascii="Wingdings 2" w:hAnsi="Wingdings 2"/>
                <w:b/>
                <w:color w:val="008000"/>
                <w:sz w:val="28"/>
                <w:szCs w:val="28"/>
                <w:lang w:val="en-GB"/>
              </w:rPr>
            </w:pPr>
            <w:r>
              <w:rPr>
                <w:rFonts w:ascii="Wingdings 2" w:hAnsi="Wingdings 2"/>
                <w:b/>
                <w:color w:val="800000"/>
                <w:sz w:val="28"/>
                <w:szCs w:val="28"/>
                <w:lang w:val="en-GB"/>
              </w:rPr>
              <w:t></w:t>
            </w:r>
          </w:p>
        </w:tc>
      </w:tr>
      <w:tr w:rsidR="00FF7B6C" w:rsidRPr="000A6B0A" w:rsidTr="008949E3">
        <w:trPr>
          <w:trHeight w:val="56"/>
          <w:jc w:val="center"/>
        </w:trPr>
        <w:tc>
          <w:tcPr>
            <w:tcW w:w="1715"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310"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rsidP="00B26AF2">
            <w:pPr>
              <w:jc w:val="center"/>
              <w:rPr>
                <w:rFonts w:ascii="Wingdings 2" w:hAnsi="Wingdings 2"/>
                <w:b/>
                <w:color w:val="008000"/>
                <w:sz w:val="28"/>
                <w:szCs w:val="28"/>
                <w:lang w:val="en-GB"/>
              </w:rPr>
            </w:pPr>
            <w:r>
              <w:rPr>
                <w:rFonts w:ascii="Wingdings 2" w:hAnsi="Wingdings 2"/>
                <w:b/>
                <w:color w:val="008000"/>
                <w:sz w:val="28"/>
                <w:szCs w:val="28"/>
                <w:lang w:val="en-GB"/>
              </w:rPr>
              <w:t></w:t>
            </w:r>
            <w:r>
              <w:rPr>
                <w:rStyle w:val="Appelnotedebasdep"/>
                <w:rFonts w:ascii="Calibri" w:hAnsi="Calibri"/>
                <w:b/>
                <w:sz w:val="20"/>
                <w:szCs w:val="20"/>
                <w:lang w:val="en-GB"/>
              </w:rPr>
              <w:footnoteReference w:id="18"/>
            </w:r>
          </w:p>
        </w:tc>
        <w:tc>
          <w:tcPr>
            <w:tcW w:w="1313"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rsidP="00B26AF2">
            <w:pPr>
              <w:jc w:val="center"/>
              <w:rPr>
                <w:rFonts w:ascii="Wingdings 2" w:hAnsi="Wingdings 2"/>
                <w:b/>
                <w:color w:val="008000"/>
                <w:sz w:val="28"/>
                <w:szCs w:val="28"/>
                <w:lang w:val="en-GB"/>
              </w:rPr>
            </w:pPr>
            <w:r>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19"/>
            </w:r>
          </w:p>
        </w:tc>
        <w:tc>
          <w:tcPr>
            <w:tcW w:w="796"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pPr>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287"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pPr>
              <w:jc w:val="center"/>
              <w:rPr>
                <w:rFonts w:ascii="Wingdings 2" w:hAnsi="Wingdings 2"/>
                <w:b/>
                <w:color w:val="008000"/>
                <w:sz w:val="28"/>
                <w:szCs w:val="28"/>
                <w:lang w:val="en-GB"/>
              </w:rPr>
            </w:pPr>
            <w:r>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20"/>
            </w:r>
          </w:p>
        </w:tc>
        <w:tc>
          <w:tcPr>
            <w:tcW w:w="1312" w:type="dxa"/>
            <w:tcBorders>
              <w:top w:val="single" w:sz="4" w:space="0" w:color="auto"/>
              <w:left w:val="single" w:sz="4" w:space="0" w:color="auto"/>
              <w:bottom w:val="single" w:sz="4" w:space="0" w:color="auto"/>
              <w:right w:val="single" w:sz="4" w:space="0" w:color="auto"/>
            </w:tcBorders>
            <w:vAlign w:val="center"/>
          </w:tcPr>
          <w:p w:rsidR="00FF7B6C" w:rsidRPr="008949E3" w:rsidRDefault="00FF7B6C">
            <w:pPr>
              <w:jc w:val="center"/>
              <w:rPr>
                <w:rFonts w:ascii="Wingdings 2" w:hAnsi="Wingdings 2"/>
                <w:b/>
                <w:color w:val="008000"/>
                <w:sz w:val="28"/>
                <w:szCs w:val="28"/>
                <w:lang w:val="en-GB"/>
              </w:rPr>
            </w:pPr>
            <w:r>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21"/>
            </w:r>
          </w:p>
        </w:tc>
        <w:tc>
          <w:tcPr>
            <w:tcW w:w="1265"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pPr>
              <w:jc w:val="center"/>
              <w:rPr>
                <w:rFonts w:ascii="Wingdings 2" w:hAnsi="Wingdings 2"/>
                <w:b/>
                <w:color w:val="008000"/>
                <w:sz w:val="28"/>
                <w:szCs w:val="28"/>
                <w:lang w:val="en-GB"/>
              </w:rPr>
            </w:pPr>
            <w:r>
              <w:rPr>
                <w:rFonts w:ascii="Wingdings 2" w:hAnsi="Wingdings 2"/>
                <w:b/>
                <w:color w:val="008000"/>
                <w:sz w:val="28"/>
                <w:szCs w:val="28"/>
                <w:lang w:val="en-GB"/>
              </w:rPr>
              <w:t></w:t>
            </w:r>
            <w:r>
              <w:rPr>
                <w:rFonts w:ascii="Calibri" w:hAnsi="Calibri" w:cs="Calibri"/>
                <w:i/>
                <w:sz w:val="16"/>
                <w:szCs w:val="20"/>
                <w:lang w:val="en-GB"/>
              </w:rPr>
              <w:t xml:space="preserve"> </w:t>
            </w:r>
            <w:r>
              <w:rPr>
                <w:rStyle w:val="Appelnotedebasdep"/>
                <w:rFonts w:asciiTheme="minorHAnsi" w:hAnsiTheme="minorHAnsi"/>
                <w:b/>
                <w:sz w:val="20"/>
                <w:szCs w:val="20"/>
                <w:lang w:val="en-GB"/>
              </w:rPr>
              <w:footnoteReference w:id="22"/>
            </w:r>
          </w:p>
        </w:tc>
        <w:tc>
          <w:tcPr>
            <w:tcW w:w="1388" w:type="dxa"/>
            <w:tcBorders>
              <w:top w:val="single" w:sz="4" w:space="0" w:color="auto"/>
              <w:left w:val="single" w:sz="4" w:space="0" w:color="auto"/>
              <w:bottom w:val="single" w:sz="4" w:space="0" w:color="auto"/>
              <w:right w:val="single" w:sz="4" w:space="0" w:color="auto"/>
            </w:tcBorders>
            <w:vAlign w:val="center"/>
          </w:tcPr>
          <w:p w:rsidR="00FF7B6C" w:rsidRPr="008949E3" w:rsidRDefault="00FF7B6C">
            <w:pPr>
              <w:jc w:val="center"/>
              <w:rPr>
                <w:rFonts w:ascii="Calibri" w:hAnsi="Calibri" w:cs="Calibri"/>
                <w:i/>
                <w:sz w:val="16"/>
                <w:szCs w:val="20"/>
                <w:lang w:val="en-GB"/>
              </w:rPr>
            </w:pPr>
            <w:r>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23"/>
            </w:r>
          </w:p>
        </w:tc>
        <w:tc>
          <w:tcPr>
            <w:tcW w:w="1628" w:type="dxa"/>
            <w:tcBorders>
              <w:top w:val="single" w:sz="4" w:space="0" w:color="auto"/>
              <w:left w:val="single" w:sz="4" w:space="0" w:color="auto"/>
              <w:bottom w:val="single" w:sz="4" w:space="0" w:color="auto"/>
              <w:right w:val="single" w:sz="4" w:space="0" w:color="auto"/>
            </w:tcBorders>
            <w:vAlign w:val="center"/>
          </w:tcPr>
          <w:p w:rsidR="00FF7B6C" w:rsidRPr="000A6B0A" w:rsidRDefault="00FF7B6C">
            <w:pPr>
              <w:jc w:val="center"/>
              <w:rPr>
                <w:rFonts w:ascii="Wingdings 2" w:hAnsi="Wingdings 2"/>
                <w:b/>
                <w:color w:val="008000"/>
                <w:sz w:val="28"/>
                <w:szCs w:val="28"/>
                <w:lang w:val="en-GB"/>
              </w:rPr>
            </w:pPr>
            <w:r>
              <w:rPr>
                <w:rFonts w:ascii="Wingdings 2" w:hAnsi="Wingdings 2"/>
                <w:b/>
                <w:color w:val="008000"/>
                <w:sz w:val="28"/>
                <w:szCs w:val="28"/>
                <w:lang w:val="en-GB"/>
              </w:rPr>
              <w:t></w:t>
            </w:r>
            <w:r>
              <w:rPr>
                <w:rStyle w:val="Appelnotedebasdep"/>
                <w:rFonts w:asciiTheme="minorHAnsi" w:hAnsiTheme="minorHAnsi"/>
                <w:b/>
                <w:sz w:val="20"/>
                <w:szCs w:val="20"/>
                <w:lang w:val="en-GB"/>
              </w:rPr>
              <w:footnoteReference w:id="24"/>
            </w:r>
          </w:p>
        </w:tc>
      </w:tr>
      <w:tr w:rsidR="0038644B" w:rsidRPr="000A6B0A" w:rsidTr="0086605D">
        <w:trPr>
          <w:trHeight w:val="56"/>
          <w:jc w:val="center"/>
        </w:trPr>
        <w:tc>
          <w:tcPr>
            <w:tcW w:w="1715" w:type="dxa"/>
            <w:shd w:val="clear" w:color="auto" w:fill="D9D9D9" w:themeFill="background1" w:themeFillShade="D9"/>
            <w:vAlign w:val="center"/>
          </w:tcPr>
          <w:p w:rsidR="0038644B" w:rsidRPr="000A6B0A" w:rsidRDefault="0038644B" w:rsidP="0086605D">
            <w:pPr>
              <w:pStyle w:val="Tabellenkopf"/>
              <w:spacing w:before="0" w:after="0"/>
              <w:jc w:val="center"/>
              <w:rPr>
                <w:rFonts w:ascii="Calibri" w:hAnsi="Calibri" w:cs="Calibri"/>
                <w:b/>
                <w:sz w:val="20"/>
                <w:lang w:val="en-GB"/>
              </w:rPr>
            </w:pPr>
            <w:r>
              <w:rPr>
                <w:rFonts w:ascii="Calibri" w:hAnsi="Calibri" w:cs="Calibri"/>
                <w:b/>
                <w:sz w:val="20"/>
                <w:lang w:val="en-GB"/>
              </w:rPr>
              <w:t>Slovakia</w:t>
            </w:r>
          </w:p>
        </w:tc>
        <w:tc>
          <w:tcPr>
            <w:tcW w:w="1310" w:type="dxa"/>
            <w:shd w:val="clear" w:color="auto" w:fill="D9D9D9" w:themeFill="background1" w:themeFillShade="D9"/>
            <w:vAlign w:val="center"/>
          </w:tcPr>
          <w:p w:rsidR="0038644B" w:rsidRPr="000A6B0A" w:rsidRDefault="0038644B"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87" w:type="dxa"/>
            <w:shd w:val="clear" w:color="auto" w:fill="D9D9D9" w:themeFill="background1" w:themeFillShade="D9"/>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12" w:type="dxa"/>
            <w:shd w:val="clear" w:color="auto" w:fill="D9D9D9" w:themeFill="background1" w:themeFillShade="D9"/>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388" w:type="dxa"/>
            <w:shd w:val="clear" w:color="auto" w:fill="D9D9D9" w:themeFill="background1" w:themeFillShade="D9"/>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38644B" w:rsidRPr="000A6B0A" w:rsidTr="008949E3">
        <w:trPr>
          <w:trHeight w:val="56"/>
          <w:jc w:val="center"/>
        </w:trPr>
        <w:tc>
          <w:tcPr>
            <w:tcW w:w="1715" w:type="dxa"/>
            <w:vAlign w:val="center"/>
          </w:tcPr>
          <w:p w:rsidR="0038644B" w:rsidRPr="000A6B0A" w:rsidRDefault="0038644B"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Slovenia </w:t>
            </w:r>
          </w:p>
        </w:tc>
        <w:tc>
          <w:tcPr>
            <w:tcW w:w="1310" w:type="dxa"/>
            <w:vAlign w:val="center"/>
          </w:tcPr>
          <w:p w:rsidR="0038644B" w:rsidRPr="000A6B0A" w:rsidRDefault="0038644B" w:rsidP="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13"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96" w:type="dxa"/>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87"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12" w:type="dxa"/>
            <w:vAlign w:val="center"/>
          </w:tcPr>
          <w:p w:rsidR="0038644B" w:rsidRPr="000A6B0A" w:rsidRDefault="0038644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388"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28"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38644B" w:rsidRPr="000A6B0A" w:rsidTr="0086605D">
        <w:trPr>
          <w:trHeight w:val="56"/>
          <w:jc w:val="center"/>
        </w:trPr>
        <w:tc>
          <w:tcPr>
            <w:tcW w:w="1715" w:type="dxa"/>
            <w:shd w:val="clear" w:color="auto" w:fill="D9D9D9" w:themeFill="background1" w:themeFillShade="D9"/>
            <w:vAlign w:val="center"/>
          </w:tcPr>
          <w:p w:rsidR="0038644B" w:rsidRPr="000A6B0A" w:rsidRDefault="0038644B" w:rsidP="0086605D">
            <w:pPr>
              <w:pStyle w:val="Tabellenkopf"/>
              <w:spacing w:before="0" w:after="0"/>
              <w:jc w:val="center"/>
              <w:rPr>
                <w:b/>
                <w:sz w:val="20"/>
                <w:lang w:val="en-GB"/>
              </w:rPr>
            </w:pPr>
            <w:r w:rsidRPr="000A6B0A">
              <w:rPr>
                <w:rFonts w:ascii="Calibri" w:hAnsi="Calibri" w:cs="Calibri"/>
                <w:b/>
                <w:sz w:val="20"/>
                <w:lang w:val="en-GB"/>
              </w:rPr>
              <w:t>Spain</w:t>
            </w:r>
            <w:r w:rsidRPr="000A6B0A">
              <w:rPr>
                <w:rStyle w:val="Appelnotedebasdep"/>
                <w:rFonts w:ascii="Calibri" w:hAnsi="Calibri"/>
                <w:b/>
                <w:sz w:val="20"/>
                <w:lang w:val="en-GB"/>
              </w:rPr>
              <w:footnoteReference w:id="25"/>
            </w:r>
            <w:r w:rsidRPr="000A6B0A">
              <w:rPr>
                <w:rFonts w:ascii="Calibri" w:hAnsi="Calibri" w:cs="Calibri"/>
                <w:b/>
                <w:sz w:val="20"/>
                <w:lang w:val="en-GB"/>
              </w:rPr>
              <w:t xml:space="preserve"> </w:t>
            </w:r>
          </w:p>
        </w:tc>
        <w:tc>
          <w:tcPr>
            <w:tcW w:w="1310" w:type="dxa"/>
            <w:shd w:val="clear" w:color="auto" w:fill="D9D9D9" w:themeFill="background1" w:themeFillShade="D9"/>
            <w:vAlign w:val="center"/>
          </w:tcPr>
          <w:p w:rsidR="0038644B" w:rsidRPr="000A6B0A" w:rsidRDefault="0038644B" w:rsidP="00B26AF2">
            <w:pPr>
              <w:jc w:val="center"/>
              <w:rPr>
                <w:rFonts w:ascii="Wingdings 2" w:hAnsi="Wingdings 2"/>
                <w:b/>
                <w:color w:val="33CCCC"/>
                <w:sz w:val="28"/>
                <w:szCs w:val="28"/>
                <w:lang w:val="en-GB"/>
              </w:rPr>
            </w:pPr>
            <w:r w:rsidRPr="000A6B0A">
              <w:rPr>
                <w:rFonts w:ascii="Wingdings 2" w:hAnsi="Wingdings 2"/>
                <w:b/>
                <w:color w:val="800000"/>
                <w:sz w:val="28"/>
                <w:szCs w:val="28"/>
                <w:lang w:val="en-GB"/>
              </w:rPr>
              <w:t></w:t>
            </w:r>
          </w:p>
        </w:tc>
        <w:tc>
          <w:tcPr>
            <w:tcW w:w="1313" w:type="dxa"/>
            <w:shd w:val="clear" w:color="auto" w:fill="D9D9D9" w:themeFill="background1" w:themeFillShade="D9"/>
            <w:vAlign w:val="center"/>
          </w:tcPr>
          <w:p w:rsidR="0038644B" w:rsidRPr="000A6B0A" w:rsidRDefault="0038644B">
            <w:pPr>
              <w:jc w:val="center"/>
              <w:rPr>
                <w:rFonts w:ascii="Calibri" w:hAnsi="Calibri" w:cs="Calibri"/>
                <w:sz w:val="18"/>
                <w:szCs w:val="1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shd w:val="clear" w:color="auto" w:fill="D9D9D9" w:themeFill="background1" w:themeFillShade="D9"/>
            <w:vAlign w:val="center"/>
          </w:tcPr>
          <w:p w:rsidR="0038644B" w:rsidRPr="000A6B0A" w:rsidRDefault="0038644B">
            <w:pPr>
              <w:jc w:val="center"/>
              <w:rPr>
                <w:rFonts w:ascii="Wingdings 2" w:hAnsi="Wingdings 2"/>
                <w:b/>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38644B" w:rsidRPr="00DA6962" w:rsidRDefault="0038644B">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c>
          <w:tcPr>
            <w:tcW w:w="1388" w:type="dxa"/>
            <w:shd w:val="clear" w:color="auto" w:fill="D9D9D9" w:themeFill="background1" w:themeFillShade="D9"/>
            <w:vAlign w:val="center"/>
          </w:tcPr>
          <w:p w:rsidR="0038644B" w:rsidRPr="00DA6962" w:rsidRDefault="0038644B">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c>
          <w:tcPr>
            <w:tcW w:w="1628" w:type="dxa"/>
            <w:shd w:val="clear" w:color="auto" w:fill="D9D9D9" w:themeFill="background1" w:themeFillShade="D9"/>
            <w:vAlign w:val="center"/>
          </w:tcPr>
          <w:p w:rsidR="0038644B" w:rsidRPr="00DA6962" w:rsidRDefault="0038644B">
            <w:pPr>
              <w:jc w:val="center"/>
              <w:rPr>
                <w:rFonts w:asciiTheme="minorHAnsi" w:hAnsiTheme="minorHAnsi"/>
                <w:color w:val="008000"/>
                <w:sz w:val="20"/>
                <w:szCs w:val="28"/>
                <w:lang w:val="en-GB"/>
              </w:rPr>
            </w:pPr>
            <w:r w:rsidRPr="00DA6962">
              <w:rPr>
                <w:rFonts w:asciiTheme="minorHAnsi" w:hAnsiTheme="minorHAnsi"/>
                <w:sz w:val="20"/>
                <w:szCs w:val="28"/>
                <w:lang w:val="en-GB"/>
              </w:rPr>
              <w:t>n/a</w:t>
            </w:r>
          </w:p>
        </w:tc>
      </w:tr>
      <w:tr w:rsidR="0038644B" w:rsidRPr="000A6B0A" w:rsidTr="008949E3">
        <w:trPr>
          <w:trHeight w:val="56"/>
          <w:jc w:val="center"/>
        </w:trPr>
        <w:tc>
          <w:tcPr>
            <w:tcW w:w="1715" w:type="dxa"/>
            <w:vAlign w:val="center"/>
          </w:tcPr>
          <w:p w:rsidR="0038644B" w:rsidRPr="000A6B0A" w:rsidRDefault="0038644B"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Sweden</w:t>
            </w:r>
          </w:p>
        </w:tc>
        <w:tc>
          <w:tcPr>
            <w:tcW w:w="1310" w:type="dxa"/>
            <w:vAlign w:val="center"/>
          </w:tcPr>
          <w:p w:rsidR="0038644B" w:rsidRPr="000A6B0A" w:rsidRDefault="0038644B"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96"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vAlign w:val="center"/>
          </w:tcPr>
          <w:p w:rsidR="0038644B" w:rsidRPr="000A6B0A" w:rsidRDefault="0038644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r w:rsidR="00BA453F" w:rsidRPr="0086605D">
              <w:rPr>
                <w:rStyle w:val="Appelnotedebasdep"/>
                <w:rFonts w:asciiTheme="minorHAnsi" w:hAnsiTheme="minorHAnsi"/>
                <w:b/>
                <w:sz w:val="20"/>
                <w:szCs w:val="20"/>
                <w:lang w:val="en-GB"/>
              </w:rPr>
              <w:footnoteReference w:id="26"/>
            </w:r>
          </w:p>
        </w:tc>
        <w:tc>
          <w:tcPr>
            <w:tcW w:w="1312" w:type="dxa"/>
            <w:vAlign w:val="center"/>
          </w:tcPr>
          <w:p w:rsidR="0038644B" w:rsidRPr="000A6B0A" w:rsidRDefault="00BA453F">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27"/>
            </w:r>
          </w:p>
        </w:tc>
        <w:tc>
          <w:tcPr>
            <w:tcW w:w="1265" w:type="dxa"/>
            <w:vAlign w:val="center"/>
          </w:tcPr>
          <w:p w:rsidR="0038644B" w:rsidRPr="004E4290" w:rsidRDefault="0038644B">
            <w:pPr>
              <w:jc w:val="center"/>
              <w:rPr>
                <w:rFonts w:asciiTheme="minorHAnsi" w:hAnsiTheme="minorHAnsi"/>
                <w:color w:val="008000"/>
                <w:sz w:val="28"/>
                <w:szCs w:val="28"/>
                <w:lang w:val="en-GB"/>
              </w:rPr>
            </w:pPr>
            <w:r w:rsidRPr="003B2158">
              <w:rPr>
                <w:rFonts w:ascii="Wingdings 2" w:hAnsi="Wingdings 2"/>
                <w:b/>
                <w:color w:val="800000"/>
                <w:sz w:val="28"/>
                <w:szCs w:val="28"/>
                <w:lang w:val="en-GB"/>
              </w:rPr>
              <w:t></w:t>
            </w:r>
            <w:r w:rsidR="00BA453F" w:rsidRPr="0086605D">
              <w:rPr>
                <w:rStyle w:val="Appelnotedebasdep"/>
                <w:rFonts w:asciiTheme="minorHAnsi" w:hAnsiTheme="minorHAnsi"/>
                <w:b/>
                <w:sz w:val="20"/>
                <w:szCs w:val="20"/>
                <w:lang w:val="en-GB"/>
              </w:rPr>
              <w:footnoteReference w:id="28"/>
            </w:r>
          </w:p>
        </w:tc>
        <w:tc>
          <w:tcPr>
            <w:tcW w:w="1388" w:type="dxa"/>
            <w:vAlign w:val="center"/>
          </w:tcPr>
          <w:p w:rsidR="0038644B" w:rsidRPr="004E4290" w:rsidRDefault="0038644B">
            <w:pPr>
              <w:jc w:val="center"/>
              <w:rPr>
                <w:rFonts w:asciiTheme="minorHAnsi" w:hAnsiTheme="minorHAnsi"/>
                <w:color w:val="008000"/>
                <w:sz w:val="28"/>
                <w:szCs w:val="28"/>
                <w:lang w:val="en-GB"/>
              </w:rPr>
            </w:pPr>
            <w:r w:rsidRPr="003B2158">
              <w:rPr>
                <w:rFonts w:ascii="Wingdings 2" w:hAnsi="Wingdings 2"/>
                <w:b/>
                <w:color w:val="800000"/>
                <w:sz w:val="28"/>
                <w:szCs w:val="28"/>
                <w:lang w:val="en-GB"/>
              </w:rPr>
              <w:t></w:t>
            </w:r>
          </w:p>
        </w:tc>
        <w:tc>
          <w:tcPr>
            <w:tcW w:w="1628" w:type="dxa"/>
            <w:vAlign w:val="center"/>
          </w:tcPr>
          <w:p w:rsidR="0038644B" w:rsidRPr="004E4290" w:rsidRDefault="0038644B">
            <w:pPr>
              <w:jc w:val="center"/>
              <w:rPr>
                <w:rFonts w:asciiTheme="minorHAnsi" w:hAnsiTheme="minorHAnsi"/>
                <w:color w:val="008000"/>
                <w:sz w:val="28"/>
                <w:szCs w:val="28"/>
                <w:lang w:val="en-GB"/>
              </w:rPr>
            </w:pPr>
            <w:r w:rsidRPr="003B2158">
              <w:rPr>
                <w:rFonts w:ascii="Wingdings 2" w:hAnsi="Wingdings 2"/>
                <w:b/>
                <w:color w:val="800000"/>
                <w:sz w:val="28"/>
                <w:szCs w:val="28"/>
                <w:lang w:val="en-GB"/>
              </w:rPr>
              <w:t></w:t>
            </w:r>
          </w:p>
        </w:tc>
      </w:tr>
      <w:tr w:rsidR="004E4290" w:rsidRPr="000A6B0A" w:rsidTr="0086605D">
        <w:trPr>
          <w:trHeight w:val="56"/>
          <w:jc w:val="center"/>
        </w:trPr>
        <w:tc>
          <w:tcPr>
            <w:tcW w:w="1715" w:type="dxa"/>
            <w:shd w:val="clear" w:color="auto" w:fill="D9D9D9" w:themeFill="background1" w:themeFillShade="D9"/>
            <w:vAlign w:val="center"/>
          </w:tcPr>
          <w:p w:rsidR="004E4290" w:rsidRPr="000A6B0A" w:rsidRDefault="004E4290"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Switzerland</w:t>
            </w:r>
          </w:p>
        </w:tc>
        <w:tc>
          <w:tcPr>
            <w:tcW w:w="1310" w:type="dxa"/>
            <w:shd w:val="clear" w:color="auto" w:fill="D9D9D9" w:themeFill="background1" w:themeFillShade="D9"/>
            <w:vAlign w:val="center"/>
          </w:tcPr>
          <w:p w:rsidR="004E4290" w:rsidRPr="000A6B0A" w:rsidRDefault="004E4290" w:rsidP="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3" w:type="dxa"/>
            <w:shd w:val="clear" w:color="auto" w:fill="D9D9D9" w:themeFill="background1" w:themeFillShade="D9"/>
            <w:vAlign w:val="center"/>
          </w:tcPr>
          <w:p w:rsidR="004E4290" w:rsidRPr="000A6B0A" w:rsidRDefault="004E4290">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6" w:type="dxa"/>
            <w:shd w:val="clear" w:color="auto" w:fill="D9D9D9" w:themeFill="background1" w:themeFillShade="D9"/>
            <w:vAlign w:val="center"/>
          </w:tcPr>
          <w:p w:rsidR="004E4290" w:rsidRPr="000A6B0A" w:rsidRDefault="004E429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87" w:type="dxa"/>
            <w:shd w:val="clear" w:color="auto" w:fill="D9D9D9" w:themeFill="background1" w:themeFillShade="D9"/>
            <w:vAlign w:val="center"/>
          </w:tcPr>
          <w:p w:rsidR="004E4290" w:rsidRPr="000A6B0A" w:rsidRDefault="004E4290">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12" w:type="dxa"/>
            <w:shd w:val="clear" w:color="auto" w:fill="D9D9D9" w:themeFill="background1" w:themeFillShade="D9"/>
            <w:vAlign w:val="center"/>
          </w:tcPr>
          <w:p w:rsidR="004E4290" w:rsidRPr="000A6B0A" w:rsidRDefault="004E429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4E4290" w:rsidRPr="000A6B0A" w:rsidRDefault="004E4290">
            <w:pPr>
              <w:jc w:val="center"/>
              <w:rPr>
                <w:rFonts w:asciiTheme="minorHAnsi" w:hAnsiTheme="minorHAnsi"/>
                <w:sz w:val="22"/>
                <w:szCs w:val="28"/>
                <w:lang w:val="en-GB"/>
              </w:rPr>
            </w:pPr>
            <w:r w:rsidRPr="000A6B0A">
              <w:rPr>
                <w:rFonts w:ascii="Wingdings 2" w:hAnsi="Wingdings 2"/>
                <w:b/>
                <w:color w:val="008000"/>
                <w:sz w:val="28"/>
                <w:szCs w:val="28"/>
                <w:lang w:val="en-GB"/>
              </w:rPr>
              <w:t></w:t>
            </w:r>
          </w:p>
        </w:tc>
        <w:tc>
          <w:tcPr>
            <w:tcW w:w="1388" w:type="dxa"/>
            <w:shd w:val="clear" w:color="auto" w:fill="D9D9D9" w:themeFill="background1" w:themeFillShade="D9"/>
            <w:vAlign w:val="center"/>
          </w:tcPr>
          <w:p w:rsidR="004E4290" w:rsidRPr="000A6B0A" w:rsidRDefault="004E4290">
            <w:pPr>
              <w:jc w:val="center"/>
              <w:rPr>
                <w:rFonts w:asciiTheme="minorHAnsi" w:hAnsiTheme="minorHAnsi"/>
                <w:sz w:val="22"/>
                <w:szCs w:val="28"/>
                <w:lang w:val="en-GB"/>
              </w:rPr>
            </w:pPr>
            <w:r w:rsidRPr="000A6B0A">
              <w:rPr>
                <w:rFonts w:ascii="Wingdings 2" w:hAnsi="Wingdings 2"/>
                <w:b/>
                <w:color w:val="800000"/>
                <w:sz w:val="28"/>
                <w:szCs w:val="28"/>
                <w:lang w:val="en-GB"/>
              </w:rPr>
              <w:t></w:t>
            </w:r>
          </w:p>
        </w:tc>
        <w:tc>
          <w:tcPr>
            <w:tcW w:w="1628" w:type="dxa"/>
            <w:shd w:val="clear" w:color="auto" w:fill="D9D9D9" w:themeFill="background1" w:themeFillShade="D9"/>
            <w:vAlign w:val="center"/>
          </w:tcPr>
          <w:p w:rsidR="004E4290" w:rsidRPr="000A6B0A" w:rsidRDefault="004E4290">
            <w:pPr>
              <w:jc w:val="center"/>
              <w:rPr>
                <w:rFonts w:asciiTheme="minorHAnsi" w:hAnsiTheme="minorHAnsi"/>
                <w:sz w:val="22"/>
                <w:szCs w:val="28"/>
                <w:lang w:val="en-GB"/>
              </w:rPr>
            </w:pPr>
            <w:r w:rsidRPr="000A6B0A">
              <w:rPr>
                <w:rFonts w:ascii="Wingdings 2" w:hAnsi="Wingdings 2"/>
                <w:b/>
                <w:color w:val="800000"/>
                <w:sz w:val="28"/>
                <w:szCs w:val="28"/>
                <w:lang w:val="en-GB"/>
              </w:rPr>
              <w:t></w:t>
            </w:r>
          </w:p>
        </w:tc>
      </w:tr>
      <w:tr w:rsidR="004E4290" w:rsidRPr="000A6B0A" w:rsidTr="0086605D">
        <w:trPr>
          <w:trHeight w:val="56"/>
          <w:jc w:val="center"/>
        </w:trPr>
        <w:tc>
          <w:tcPr>
            <w:tcW w:w="1715" w:type="dxa"/>
            <w:vAlign w:val="center"/>
          </w:tcPr>
          <w:p w:rsidR="004E4290" w:rsidRPr="000A6B0A" w:rsidRDefault="004E4290"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UK</w:t>
            </w:r>
          </w:p>
        </w:tc>
        <w:tc>
          <w:tcPr>
            <w:tcW w:w="1310" w:type="dxa"/>
            <w:vAlign w:val="center"/>
          </w:tcPr>
          <w:p w:rsidR="004E4290" w:rsidRPr="000A6B0A" w:rsidRDefault="004E4290" w:rsidP="00B26AF2">
            <w:pPr>
              <w:jc w:val="center"/>
              <w:rPr>
                <w:rFonts w:ascii="Wingdings 2" w:hAnsi="Wingdings 2"/>
                <w:b/>
                <w:color w:val="0000FF"/>
                <w:sz w:val="28"/>
                <w:szCs w:val="28"/>
                <w:lang w:val="en-GB"/>
              </w:rPr>
            </w:pPr>
            <w:r w:rsidRPr="000A6B0A">
              <w:rPr>
                <w:rFonts w:ascii="Wingdings 2" w:hAnsi="Wingdings 2"/>
                <w:b/>
                <w:color w:val="008000"/>
                <w:sz w:val="28"/>
                <w:szCs w:val="28"/>
                <w:lang w:val="en-GB"/>
              </w:rPr>
              <w:t></w:t>
            </w:r>
          </w:p>
        </w:tc>
        <w:tc>
          <w:tcPr>
            <w:tcW w:w="1313" w:type="dxa"/>
            <w:vAlign w:val="center"/>
          </w:tcPr>
          <w:p w:rsidR="004E4290" w:rsidRPr="00DA6962" w:rsidRDefault="00DA6962">
            <w:pPr>
              <w:jc w:val="center"/>
              <w:rPr>
                <w:rFonts w:ascii="Calibri" w:hAnsi="Calibri" w:cs="Calibri"/>
                <w:i/>
                <w:sz w:val="16"/>
                <w:szCs w:val="20"/>
                <w:lang w:val="en-GB"/>
              </w:rPr>
            </w:pPr>
            <w:r w:rsidRPr="000A6B0A">
              <w:rPr>
                <w:rFonts w:ascii="Wingdings 2" w:hAnsi="Wingdings 2"/>
                <w:b/>
                <w:color w:val="800000"/>
                <w:sz w:val="28"/>
                <w:szCs w:val="28"/>
                <w:lang w:val="en-GB"/>
              </w:rPr>
              <w:t></w:t>
            </w:r>
            <w:r w:rsidRPr="008949E3">
              <w:rPr>
                <w:rStyle w:val="Appelnotedebasdep"/>
                <w:rFonts w:asciiTheme="minorHAnsi" w:hAnsiTheme="minorHAnsi"/>
                <w:b/>
                <w:sz w:val="20"/>
                <w:szCs w:val="20"/>
                <w:lang w:val="en-GB"/>
              </w:rPr>
              <w:footnoteReference w:id="29"/>
            </w:r>
            <w:r w:rsidRPr="000A6B0A">
              <w:rPr>
                <w:rFonts w:ascii="Calibri" w:hAnsi="Calibri" w:cs="Calibri"/>
                <w:i/>
                <w:sz w:val="16"/>
                <w:szCs w:val="20"/>
                <w:lang w:val="en-GB"/>
              </w:rPr>
              <w:t xml:space="preserve"> </w:t>
            </w:r>
          </w:p>
        </w:tc>
        <w:tc>
          <w:tcPr>
            <w:tcW w:w="796" w:type="dxa"/>
            <w:vAlign w:val="center"/>
          </w:tcPr>
          <w:p w:rsidR="004E4290" w:rsidRPr="000A6B0A" w:rsidRDefault="00DA6962">
            <w:pPr>
              <w:jc w:val="center"/>
              <w:rPr>
                <w:rFonts w:ascii="Wingdings 2" w:hAnsi="Wingdings 2"/>
                <w:b/>
                <w:i/>
                <w:color w:val="800000"/>
                <w:sz w:val="28"/>
                <w:szCs w:val="28"/>
                <w:lang w:val="en-GB"/>
              </w:rPr>
            </w:pPr>
            <w:r w:rsidRPr="000A6B0A">
              <w:rPr>
                <w:rFonts w:ascii="Wingdings 2" w:hAnsi="Wingdings 2"/>
                <w:b/>
                <w:color w:val="800000"/>
                <w:sz w:val="28"/>
                <w:szCs w:val="28"/>
                <w:lang w:val="en-GB"/>
              </w:rPr>
              <w:t></w:t>
            </w:r>
            <w:r w:rsidRPr="008949E3">
              <w:rPr>
                <w:rStyle w:val="Appelnotedebasdep"/>
                <w:rFonts w:asciiTheme="minorHAnsi" w:hAnsiTheme="minorHAnsi"/>
                <w:b/>
                <w:sz w:val="20"/>
                <w:szCs w:val="20"/>
                <w:lang w:val="en-GB"/>
              </w:rPr>
              <w:footnoteReference w:id="30"/>
            </w:r>
            <w:r w:rsidRPr="000A6B0A">
              <w:rPr>
                <w:rFonts w:ascii="Calibri" w:hAnsi="Calibri" w:cs="Calibri"/>
                <w:i/>
                <w:sz w:val="16"/>
                <w:szCs w:val="20"/>
                <w:lang w:val="en-GB"/>
              </w:rPr>
              <w:t xml:space="preserve"> </w:t>
            </w:r>
          </w:p>
        </w:tc>
        <w:tc>
          <w:tcPr>
            <w:tcW w:w="1287" w:type="dxa"/>
            <w:vAlign w:val="center"/>
          </w:tcPr>
          <w:p w:rsidR="004E4290" w:rsidRPr="000A6B0A" w:rsidRDefault="004E4290">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312" w:type="dxa"/>
            <w:vAlign w:val="center"/>
          </w:tcPr>
          <w:p w:rsidR="004E4290" w:rsidRPr="000A6B0A" w:rsidRDefault="004E4290">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65" w:type="dxa"/>
            <w:vAlign w:val="center"/>
          </w:tcPr>
          <w:p w:rsidR="004E4290" w:rsidRPr="000A6B0A" w:rsidRDefault="002123F8">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388" w:type="dxa"/>
            <w:vAlign w:val="center"/>
          </w:tcPr>
          <w:p w:rsidR="004E4290" w:rsidRPr="000A6B0A" w:rsidRDefault="004E4290">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28" w:type="dxa"/>
            <w:vAlign w:val="center"/>
          </w:tcPr>
          <w:p w:rsidR="004E4290" w:rsidRPr="000A6B0A" w:rsidRDefault="002123F8">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bl>
    <w:p w:rsidR="008C0E0E" w:rsidRPr="000A6B0A" w:rsidRDefault="008C0E0E" w:rsidP="003F250B">
      <w:pPr>
        <w:jc w:val="both"/>
        <w:rPr>
          <w:rFonts w:asciiTheme="minorHAnsi" w:hAnsiTheme="minorHAnsi"/>
          <w:sz w:val="22"/>
          <w:szCs w:val="22"/>
          <w:lang w:val="en-GB"/>
        </w:rPr>
        <w:sectPr w:rsidR="008C0E0E" w:rsidRPr="000A6B0A" w:rsidSect="00F76292">
          <w:pgSz w:w="16839" w:h="11907" w:orient="landscape"/>
          <w:pgMar w:top="1800" w:right="1258" w:bottom="1287" w:left="1008" w:header="708" w:footer="708" w:gutter="0"/>
          <w:cols w:space="708"/>
          <w:docGrid w:linePitch="360"/>
        </w:sectPr>
      </w:pPr>
    </w:p>
    <w:p w:rsidR="00DC105B" w:rsidRPr="000A6B0A" w:rsidRDefault="00DC105B"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lastRenderedPageBreak/>
        <w:t>Findings of this charging review show that:</w:t>
      </w:r>
    </w:p>
    <w:p w:rsidR="00DC105B" w:rsidRPr="000A6B0A" w:rsidRDefault="00DC105B" w:rsidP="00603222">
      <w:pPr>
        <w:spacing w:line="276" w:lineRule="auto"/>
        <w:jc w:val="both"/>
        <w:rPr>
          <w:rFonts w:asciiTheme="minorHAnsi" w:hAnsiTheme="minorHAnsi"/>
          <w:sz w:val="22"/>
          <w:szCs w:val="22"/>
          <w:lang w:val="en-GB"/>
        </w:rPr>
      </w:pPr>
    </w:p>
    <w:p w:rsidR="002123F8" w:rsidRDefault="002123F8" w:rsidP="002123F8">
      <w:pPr>
        <w:numPr>
          <w:ilvl w:val="0"/>
          <w:numId w:val="7"/>
        </w:numPr>
        <w:spacing w:line="276" w:lineRule="auto"/>
        <w:jc w:val="both"/>
        <w:rPr>
          <w:rFonts w:asciiTheme="minorHAnsi" w:hAnsiTheme="minorHAnsi"/>
          <w:sz w:val="22"/>
          <w:szCs w:val="22"/>
          <w:lang w:val="en-GB"/>
        </w:rPr>
      </w:pPr>
      <w:r>
        <w:rPr>
          <w:rFonts w:asciiTheme="minorHAnsi" w:hAnsiTheme="minorHAnsi"/>
          <w:sz w:val="22"/>
          <w:szCs w:val="22"/>
          <w:lang w:val="en-GB"/>
        </w:rPr>
        <w:t xml:space="preserve">In most countries, the charging models are based (at least partly) on the principle of </w:t>
      </w:r>
      <w:r>
        <w:rPr>
          <w:rFonts w:asciiTheme="minorHAnsi" w:hAnsiTheme="minorHAnsi"/>
          <w:b/>
          <w:sz w:val="22"/>
          <w:szCs w:val="22"/>
          <w:lang w:val="en-GB"/>
        </w:rPr>
        <w:t>marginal cost pricing</w:t>
      </w:r>
      <w:r w:rsidR="000D77BF">
        <w:rPr>
          <w:rFonts w:asciiTheme="minorHAnsi" w:hAnsiTheme="minorHAnsi"/>
          <w:sz w:val="22"/>
          <w:szCs w:val="22"/>
          <w:lang w:val="en-GB"/>
        </w:rPr>
        <w:t xml:space="preserve">. </w:t>
      </w:r>
      <w:r w:rsidR="0056475F">
        <w:rPr>
          <w:rFonts w:asciiTheme="minorHAnsi" w:hAnsiTheme="minorHAnsi"/>
          <w:sz w:val="22"/>
          <w:szCs w:val="22"/>
          <w:lang w:val="en-GB"/>
        </w:rPr>
        <w:t xml:space="preserve">This reflects the fact that some of the governments support IMs through a subsidy, while others require the IM to recover some of its costs through the charging framework in the form of mark-ups. </w:t>
      </w:r>
      <w:r w:rsidR="000D77BF">
        <w:rPr>
          <w:rFonts w:asciiTheme="minorHAnsi" w:hAnsiTheme="minorHAnsi"/>
          <w:sz w:val="22"/>
          <w:szCs w:val="22"/>
          <w:lang w:val="en-GB"/>
        </w:rPr>
        <w:t>T</w:t>
      </w:r>
      <w:r>
        <w:rPr>
          <w:rFonts w:asciiTheme="minorHAnsi" w:hAnsiTheme="minorHAnsi"/>
          <w:sz w:val="22"/>
          <w:szCs w:val="22"/>
          <w:lang w:val="en-GB"/>
        </w:rPr>
        <w:t xml:space="preserve">he methods by which </w:t>
      </w:r>
      <w:r w:rsidR="000D77BF">
        <w:rPr>
          <w:rFonts w:asciiTheme="minorHAnsi" w:hAnsiTheme="minorHAnsi"/>
          <w:sz w:val="22"/>
          <w:szCs w:val="22"/>
          <w:lang w:val="en-GB"/>
        </w:rPr>
        <w:t xml:space="preserve">direct or </w:t>
      </w:r>
      <w:r>
        <w:rPr>
          <w:rFonts w:asciiTheme="minorHAnsi" w:hAnsiTheme="minorHAnsi"/>
          <w:sz w:val="22"/>
          <w:szCs w:val="22"/>
          <w:lang w:val="en-GB"/>
        </w:rPr>
        <w:t>marginal costs are estimated and the charges’ design vary between countries. In Italy, a new system has been implemented following the new regulatory framework issued by the Italian regulatory body (ART) in November 2015, coherent with the principles set in the Recast. Under the new system, access charges are made of different components: direct costs, mark-ups and other components (incentives for ETCS, surcharges for scarcity, environmental effects, etc.). Direct costs are estimated on the basis of three factors: train overall mass, path traffic speed and contact wire (on the basis of type of the rolling stock)</w:t>
      </w:r>
      <w:r>
        <w:rPr>
          <w:rStyle w:val="Appelnotedebasdep"/>
          <w:rFonts w:asciiTheme="minorHAnsi" w:hAnsiTheme="minorHAnsi"/>
          <w:sz w:val="22"/>
          <w:szCs w:val="22"/>
          <w:lang w:val="en-GB"/>
        </w:rPr>
        <w:footnoteReference w:id="31"/>
      </w:r>
      <w:r>
        <w:rPr>
          <w:rFonts w:asciiTheme="minorHAnsi" w:hAnsiTheme="minorHAnsi"/>
          <w:sz w:val="22"/>
          <w:szCs w:val="22"/>
          <w:lang w:val="en-GB"/>
        </w:rPr>
        <w:t>. The new system will be applied from January 2018</w:t>
      </w:r>
      <w:r w:rsidR="0056475F">
        <w:rPr>
          <w:rStyle w:val="Appelnotedebasdep"/>
          <w:rFonts w:asciiTheme="minorHAnsi" w:hAnsiTheme="minorHAnsi"/>
          <w:sz w:val="22"/>
          <w:szCs w:val="22"/>
          <w:lang w:val="en-GB"/>
        </w:rPr>
        <w:footnoteReference w:id="32"/>
      </w:r>
      <w:r>
        <w:rPr>
          <w:rFonts w:asciiTheme="minorHAnsi" w:hAnsiTheme="minorHAnsi"/>
          <w:sz w:val="22"/>
          <w:szCs w:val="22"/>
          <w:lang w:val="en-GB"/>
        </w:rPr>
        <w:t>;</w:t>
      </w:r>
    </w:p>
    <w:p w:rsidR="001E3837" w:rsidRPr="00294CCF" w:rsidRDefault="001E3837" w:rsidP="00294CCF">
      <w:pPr>
        <w:numPr>
          <w:ilvl w:val="0"/>
          <w:numId w:val="7"/>
        </w:numPr>
        <w:spacing w:line="276" w:lineRule="auto"/>
        <w:jc w:val="both"/>
        <w:rPr>
          <w:rFonts w:asciiTheme="minorHAnsi" w:hAnsiTheme="minorHAnsi"/>
          <w:sz w:val="22"/>
          <w:szCs w:val="22"/>
          <w:lang w:val="en-GB"/>
        </w:rPr>
      </w:pPr>
      <w:r w:rsidRPr="00294CCF">
        <w:rPr>
          <w:rFonts w:asciiTheme="minorHAnsi" w:hAnsiTheme="minorHAnsi"/>
          <w:sz w:val="22"/>
          <w:szCs w:val="22"/>
          <w:lang w:val="en-GB"/>
        </w:rPr>
        <w:t xml:space="preserve">Most countries have a </w:t>
      </w:r>
      <w:r w:rsidRPr="00294CCF">
        <w:rPr>
          <w:rFonts w:asciiTheme="minorHAnsi" w:hAnsiTheme="minorHAnsi"/>
          <w:b/>
          <w:sz w:val="22"/>
          <w:szCs w:val="22"/>
          <w:lang w:val="en-GB"/>
        </w:rPr>
        <w:t>multi-part charging structure</w:t>
      </w:r>
      <w:r w:rsidRPr="00294CCF">
        <w:rPr>
          <w:rFonts w:asciiTheme="minorHAnsi" w:hAnsiTheme="minorHAnsi"/>
          <w:sz w:val="22"/>
          <w:szCs w:val="22"/>
          <w:lang w:val="en-GB"/>
        </w:rPr>
        <w:t>;</w:t>
      </w:r>
    </w:p>
    <w:p w:rsidR="001E3837" w:rsidRPr="000A6B0A" w:rsidRDefault="001E3837" w:rsidP="00E561FB">
      <w:pPr>
        <w:numPr>
          <w:ilvl w:val="0"/>
          <w:numId w:val="7"/>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There is a trend to take into account external effects. </w:t>
      </w:r>
      <w:r w:rsidR="00C52A47" w:rsidRPr="000A6B0A">
        <w:rPr>
          <w:rFonts w:asciiTheme="minorHAnsi" w:hAnsiTheme="minorHAnsi"/>
          <w:b/>
          <w:sz w:val="22"/>
          <w:szCs w:val="22"/>
          <w:lang w:val="en-GB"/>
        </w:rPr>
        <w:t>Sweden</w:t>
      </w:r>
      <w:r w:rsidR="00C52A47" w:rsidRPr="000A6B0A">
        <w:rPr>
          <w:rFonts w:asciiTheme="minorHAnsi" w:hAnsiTheme="minorHAnsi"/>
          <w:sz w:val="22"/>
          <w:szCs w:val="22"/>
          <w:lang w:val="en-GB"/>
        </w:rPr>
        <w:t xml:space="preserve">, for instance, incorporates </w:t>
      </w:r>
      <w:r w:rsidR="00DC2DAC" w:rsidRPr="000A6B0A">
        <w:rPr>
          <w:rFonts w:asciiTheme="minorHAnsi" w:hAnsiTheme="minorHAnsi"/>
          <w:sz w:val="22"/>
          <w:szCs w:val="22"/>
          <w:lang w:val="en-GB"/>
        </w:rPr>
        <w:t xml:space="preserve">an emission charge levied on combustion engine-driven vehicles </w:t>
      </w:r>
      <w:r w:rsidR="00C52A47" w:rsidRPr="000A6B0A">
        <w:rPr>
          <w:rFonts w:asciiTheme="minorHAnsi" w:hAnsiTheme="minorHAnsi"/>
          <w:sz w:val="22"/>
          <w:szCs w:val="22"/>
          <w:lang w:val="en-GB"/>
        </w:rPr>
        <w:t>into its charging regime.</w:t>
      </w:r>
      <w:r w:rsidRPr="000A6B0A">
        <w:rPr>
          <w:rFonts w:asciiTheme="minorHAnsi" w:hAnsiTheme="minorHAnsi"/>
          <w:sz w:val="22"/>
          <w:szCs w:val="22"/>
          <w:lang w:val="en-GB"/>
        </w:rPr>
        <w:t xml:space="preserve"> Similar approaches are considered in other countries such as </w:t>
      </w:r>
      <w:r w:rsidRPr="000A6B0A">
        <w:rPr>
          <w:rFonts w:asciiTheme="minorHAnsi" w:hAnsiTheme="minorHAnsi"/>
          <w:b/>
          <w:sz w:val="22"/>
          <w:szCs w:val="22"/>
          <w:lang w:val="en-GB"/>
        </w:rPr>
        <w:t>Switzerland</w:t>
      </w:r>
      <w:r w:rsidR="002123F8">
        <w:rPr>
          <w:rFonts w:asciiTheme="minorHAnsi" w:hAnsiTheme="minorHAnsi"/>
          <w:b/>
          <w:sz w:val="22"/>
          <w:szCs w:val="22"/>
          <w:lang w:val="en-GB"/>
        </w:rPr>
        <w:t xml:space="preserve"> </w:t>
      </w:r>
      <w:r w:rsidR="00EA5C43" w:rsidRPr="000A6B0A">
        <w:rPr>
          <w:rFonts w:asciiTheme="minorHAnsi" w:hAnsiTheme="minorHAnsi"/>
          <w:sz w:val="22"/>
          <w:szCs w:val="22"/>
          <w:lang w:val="en-GB"/>
        </w:rPr>
        <w:t xml:space="preserve">and </w:t>
      </w:r>
      <w:r w:rsidR="00EA5C43" w:rsidRPr="000A6B0A">
        <w:rPr>
          <w:rFonts w:asciiTheme="minorHAnsi" w:hAnsiTheme="minorHAnsi"/>
          <w:b/>
          <w:sz w:val="22"/>
          <w:szCs w:val="22"/>
          <w:lang w:val="en-GB"/>
        </w:rPr>
        <w:t>Germany</w:t>
      </w:r>
      <w:r w:rsidR="002123F8" w:rsidRPr="0086605D">
        <w:rPr>
          <w:rFonts w:asciiTheme="minorHAnsi" w:hAnsiTheme="minorHAnsi"/>
          <w:sz w:val="22"/>
          <w:szCs w:val="22"/>
          <w:lang w:val="en-GB"/>
        </w:rPr>
        <w:t>, the latter having</w:t>
      </w:r>
      <w:r w:rsidR="00EA5C43" w:rsidRPr="000A6B0A">
        <w:rPr>
          <w:rFonts w:asciiTheme="minorHAnsi" w:hAnsiTheme="minorHAnsi"/>
          <w:sz w:val="22"/>
          <w:szCs w:val="22"/>
          <w:lang w:val="en-GB"/>
        </w:rPr>
        <w:t xml:space="preserve"> introduced a noise differentiated charge for freight trains in June 2013.</w:t>
      </w:r>
      <w:r w:rsidR="007C40C6" w:rsidRPr="000A6B0A">
        <w:rPr>
          <w:rFonts w:asciiTheme="minorHAnsi" w:hAnsiTheme="minorHAnsi"/>
          <w:sz w:val="22"/>
          <w:szCs w:val="22"/>
          <w:lang w:val="en-GB"/>
        </w:rPr>
        <w:t xml:space="preserve"> In</w:t>
      </w:r>
      <w:r w:rsidR="00826335" w:rsidRPr="000A6B0A">
        <w:rPr>
          <w:rFonts w:asciiTheme="minorHAnsi" w:hAnsiTheme="minorHAnsi"/>
          <w:sz w:val="22"/>
          <w:szCs w:val="22"/>
          <w:lang w:val="en-GB"/>
        </w:rPr>
        <w:t xml:space="preserve"> 2015</w:t>
      </w:r>
      <w:r w:rsidR="007C40C6" w:rsidRPr="000A6B0A">
        <w:rPr>
          <w:rFonts w:asciiTheme="minorHAnsi" w:hAnsiTheme="minorHAnsi"/>
          <w:sz w:val="22"/>
          <w:szCs w:val="22"/>
          <w:lang w:val="en-GB"/>
        </w:rPr>
        <w:t xml:space="preserve"> </w:t>
      </w:r>
      <w:r w:rsidR="00826335" w:rsidRPr="000A6B0A">
        <w:rPr>
          <w:rFonts w:asciiTheme="minorHAnsi" w:hAnsiTheme="minorHAnsi"/>
          <w:sz w:val="22"/>
          <w:szCs w:val="22"/>
          <w:lang w:val="en-GB"/>
        </w:rPr>
        <w:t>about 1</w:t>
      </w:r>
      <w:r w:rsidR="000D77BF">
        <w:rPr>
          <w:rFonts w:asciiTheme="minorHAnsi" w:hAnsiTheme="minorHAnsi"/>
          <w:sz w:val="22"/>
          <w:szCs w:val="22"/>
          <w:lang w:val="en-GB"/>
        </w:rPr>
        <w:t>6</w:t>
      </w:r>
      <w:r w:rsidR="00826335" w:rsidRPr="000A6B0A">
        <w:rPr>
          <w:rFonts w:asciiTheme="minorHAnsi" w:hAnsiTheme="minorHAnsi"/>
          <w:sz w:val="22"/>
          <w:szCs w:val="22"/>
          <w:lang w:val="en-GB"/>
        </w:rPr>
        <w:t xml:space="preserve"> per</w:t>
      </w:r>
      <w:r w:rsidR="000A6B0A">
        <w:rPr>
          <w:rFonts w:asciiTheme="minorHAnsi" w:hAnsiTheme="minorHAnsi"/>
          <w:sz w:val="22"/>
          <w:szCs w:val="22"/>
          <w:lang w:val="en-GB"/>
        </w:rPr>
        <w:t xml:space="preserve"> </w:t>
      </w:r>
      <w:r w:rsidR="00826335" w:rsidRPr="000A6B0A">
        <w:rPr>
          <w:rFonts w:asciiTheme="minorHAnsi" w:hAnsiTheme="minorHAnsi"/>
          <w:sz w:val="22"/>
          <w:szCs w:val="22"/>
          <w:lang w:val="en-GB"/>
        </w:rPr>
        <w:t>cent of railway undertakings of the</w:t>
      </w:r>
      <w:r w:rsidR="007C40C6" w:rsidRPr="000A6B0A">
        <w:rPr>
          <w:rFonts w:asciiTheme="minorHAnsi" w:hAnsiTheme="minorHAnsi"/>
          <w:sz w:val="22"/>
          <w:szCs w:val="22"/>
          <w:lang w:val="en-GB"/>
        </w:rPr>
        <w:t xml:space="preserve"> rail freight segment use</w:t>
      </w:r>
      <w:r w:rsidR="00826335" w:rsidRPr="000A6B0A">
        <w:rPr>
          <w:rFonts w:asciiTheme="minorHAnsi" w:hAnsiTheme="minorHAnsi"/>
          <w:sz w:val="22"/>
          <w:szCs w:val="22"/>
          <w:lang w:val="en-GB"/>
        </w:rPr>
        <w:t>d</w:t>
      </w:r>
      <w:r w:rsidR="007C40C6" w:rsidRPr="000A6B0A">
        <w:rPr>
          <w:rFonts w:asciiTheme="minorHAnsi" w:hAnsiTheme="minorHAnsi"/>
          <w:sz w:val="22"/>
          <w:szCs w:val="22"/>
          <w:lang w:val="en-GB"/>
        </w:rPr>
        <w:t xml:space="preserve"> low-noise trains. </w:t>
      </w:r>
      <w:r w:rsidR="005B7535" w:rsidRPr="000A6B0A">
        <w:rPr>
          <w:rFonts w:asciiTheme="minorHAnsi" w:hAnsiTheme="minorHAnsi"/>
          <w:sz w:val="22"/>
          <w:szCs w:val="22"/>
          <w:lang w:val="en-GB"/>
        </w:rPr>
        <w:t>However</w:t>
      </w:r>
      <w:r w:rsidR="000D77BF">
        <w:rPr>
          <w:rFonts w:asciiTheme="minorHAnsi" w:hAnsiTheme="minorHAnsi"/>
          <w:sz w:val="22"/>
          <w:szCs w:val="22"/>
          <w:lang w:val="en-GB"/>
        </w:rPr>
        <w:t>,</w:t>
      </w:r>
      <w:r w:rsidR="007C40C6" w:rsidRPr="000A6B0A">
        <w:rPr>
          <w:rFonts w:asciiTheme="minorHAnsi" w:hAnsiTheme="minorHAnsi"/>
          <w:sz w:val="22"/>
          <w:szCs w:val="22"/>
          <w:lang w:val="en-GB"/>
        </w:rPr>
        <w:t xml:space="preserve"> only 5 per</w:t>
      </w:r>
      <w:r w:rsidR="000A6B0A">
        <w:rPr>
          <w:rFonts w:asciiTheme="minorHAnsi" w:hAnsiTheme="minorHAnsi"/>
          <w:sz w:val="22"/>
          <w:szCs w:val="22"/>
          <w:lang w:val="en-GB"/>
        </w:rPr>
        <w:t xml:space="preserve"> </w:t>
      </w:r>
      <w:r w:rsidR="007C40C6" w:rsidRPr="000A6B0A">
        <w:rPr>
          <w:rFonts w:asciiTheme="minorHAnsi" w:hAnsiTheme="minorHAnsi"/>
          <w:sz w:val="22"/>
          <w:szCs w:val="22"/>
          <w:lang w:val="en-GB"/>
        </w:rPr>
        <w:t xml:space="preserve">cent of total train-path km </w:t>
      </w:r>
      <w:r w:rsidR="00826335" w:rsidRPr="000A6B0A">
        <w:rPr>
          <w:rFonts w:asciiTheme="minorHAnsi" w:hAnsiTheme="minorHAnsi"/>
          <w:sz w:val="22"/>
          <w:szCs w:val="22"/>
          <w:lang w:val="en-GB"/>
        </w:rPr>
        <w:t>were</w:t>
      </w:r>
      <w:r w:rsidR="007C40C6" w:rsidRPr="000A6B0A">
        <w:rPr>
          <w:rFonts w:asciiTheme="minorHAnsi" w:hAnsiTheme="minorHAnsi"/>
          <w:sz w:val="22"/>
          <w:szCs w:val="22"/>
          <w:lang w:val="en-GB"/>
        </w:rPr>
        <w:t xml:space="preserve"> travelled by those low-noise trains.</w:t>
      </w:r>
    </w:p>
    <w:p w:rsidR="007C1FC1" w:rsidRPr="000A6B0A" w:rsidRDefault="007C1FC1" w:rsidP="00603222">
      <w:pPr>
        <w:spacing w:line="276" w:lineRule="auto"/>
        <w:jc w:val="both"/>
        <w:rPr>
          <w:rFonts w:asciiTheme="minorHAnsi" w:hAnsiTheme="minorHAnsi"/>
          <w:sz w:val="22"/>
          <w:szCs w:val="22"/>
          <w:lang w:val="en-GB"/>
        </w:rPr>
      </w:pPr>
    </w:p>
    <w:p w:rsidR="001E3837" w:rsidRPr="000A6B0A" w:rsidRDefault="001E383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contrast to these areas where a broad commonality of approach</w:t>
      </w:r>
      <w:r w:rsidR="00EA5C43" w:rsidRPr="000A6B0A">
        <w:rPr>
          <w:rFonts w:asciiTheme="minorHAnsi" w:hAnsiTheme="minorHAnsi"/>
          <w:sz w:val="22"/>
          <w:szCs w:val="22"/>
          <w:lang w:val="en-GB"/>
        </w:rPr>
        <w:t>es</w:t>
      </w:r>
      <w:r w:rsidRPr="000A6B0A">
        <w:rPr>
          <w:rFonts w:asciiTheme="minorHAnsi" w:hAnsiTheme="minorHAnsi"/>
          <w:sz w:val="22"/>
          <w:szCs w:val="22"/>
          <w:lang w:val="en-GB"/>
        </w:rPr>
        <w:t xml:space="preserve"> exists, there are several important</w:t>
      </w:r>
      <w:r w:rsidR="000B1EEC"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differences in </w:t>
      </w:r>
      <w:r w:rsidR="00EA5C43" w:rsidRPr="000A6B0A">
        <w:rPr>
          <w:rFonts w:asciiTheme="minorHAnsi" w:hAnsiTheme="minorHAnsi"/>
          <w:sz w:val="22"/>
          <w:szCs w:val="22"/>
          <w:lang w:val="en-GB"/>
        </w:rPr>
        <w:t xml:space="preserve">the </w:t>
      </w:r>
      <w:r w:rsidRPr="000A6B0A">
        <w:rPr>
          <w:rFonts w:asciiTheme="minorHAnsi" w:hAnsiTheme="minorHAnsi"/>
          <w:sz w:val="22"/>
          <w:szCs w:val="22"/>
          <w:lang w:val="en-GB"/>
        </w:rPr>
        <w:t xml:space="preserve">approach when regulating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in IRG-Rail </w:t>
      </w:r>
      <w:r w:rsidR="00556B8E" w:rsidRPr="000A6B0A">
        <w:rPr>
          <w:rFonts w:asciiTheme="minorHAnsi" w:hAnsiTheme="minorHAnsi"/>
          <w:sz w:val="22"/>
          <w:szCs w:val="22"/>
          <w:lang w:val="en-GB"/>
        </w:rPr>
        <w:t xml:space="preserve">Member </w:t>
      </w:r>
      <w:r w:rsidR="0056475F">
        <w:rPr>
          <w:rFonts w:asciiTheme="minorHAnsi" w:hAnsiTheme="minorHAnsi"/>
          <w:sz w:val="22"/>
          <w:szCs w:val="22"/>
          <w:lang w:val="en-GB"/>
        </w:rPr>
        <w:t>S</w:t>
      </w:r>
      <w:r w:rsidR="00556B8E" w:rsidRPr="000A6B0A">
        <w:rPr>
          <w:rFonts w:asciiTheme="minorHAnsi" w:hAnsiTheme="minorHAnsi"/>
          <w:sz w:val="22"/>
          <w:szCs w:val="22"/>
          <w:lang w:val="en-GB"/>
        </w:rPr>
        <w:t>tates</w:t>
      </w:r>
      <w:r w:rsidRPr="000A6B0A">
        <w:rPr>
          <w:rFonts w:asciiTheme="minorHAnsi" w:hAnsiTheme="minorHAnsi"/>
          <w:sz w:val="22"/>
          <w:szCs w:val="22"/>
          <w:lang w:val="en-GB"/>
        </w:rPr>
        <w:t>. These include:</w:t>
      </w:r>
    </w:p>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1E3837" w:rsidP="00E561FB">
      <w:pPr>
        <w:numPr>
          <w:ilvl w:val="0"/>
          <w:numId w:val="8"/>
        </w:numPr>
        <w:spacing w:line="276" w:lineRule="auto"/>
        <w:jc w:val="both"/>
        <w:rPr>
          <w:rFonts w:asciiTheme="minorHAnsi" w:hAnsiTheme="minorHAnsi"/>
          <w:sz w:val="22"/>
          <w:szCs w:val="22"/>
          <w:lang w:val="en-GB"/>
        </w:rPr>
      </w:pPr>
      <w:r w:rsidRPr="000A6B0A">
        <w:rPr>
          <w:rFonts w:asciiTheme="minorHAnsi" w:hAnsiTheme="minorHAnsi"/>
          <w:b/>
          <w:sz w:val="22"/>
          <w:szCs w:val="22"/>
          <w:lang w:val="en-GB"/>
        </w:rPr>
        <w:t>Mark-ups</w:t>
      </w:r>
      <w:r w:rsidRPr="000A6B0A">
        <w:rPr>
          <w:rFonts w:asciiTheme="minorHAnsi" w:hAnsiTheme="minorHAnsi"/>
          <w:sz w:val="22"/>
          <w:szCs w:val="22"/>
          <w:lang w:val="en-GB"/>
        </w:rPr>
        <w:t xml:space="preserve"> and </w:t>
      </w:r>
      <w:r w:rsidRPr="000A6B0A">
        <w:rPr>
          <w:rFonts w:asciiTheme="minorHAnsi" w:hAnsiTheme="minorHAnsi"/>
          <w:b/>
          <w:sz w:val="22"/>
          <w:szCs w:val="22"/>
          <w:lang w:val="en-GB"/>
        </w:rPr>
        <w:t>market segmentation</w:t>
      </w:r>
      <w:r w:rsidRPr="000A6B0A">
        <w:rPr>
          <w:rFonts w:asciiTheme="minorHAnsi" w:hAnsiTheme="minorHAnsi"/>
          <w:sz w:val="22"/>
          <w:szCs w:val="22"/>
          <w:lang w:val="en-GB"/>
        </w:rPr>
        <w:t xml:space="preserve"> are not applied in all countries and, when applied, </w:t>
      </w:r>
      <w:r w:rsidR="0056475F">
        <w:rPr>
          <w:rFonts w:asciiTheme="minorHAnsi" w:hAnsiTheme="minorHAnsi"/>
          <w:sz w:val="22"/>
          <w:szCs w:val="22"/>
          <w:lang w:val="en-GB"/>
        </w:rPr>
        <w:t>they</w:t>
      </w:r>
      <w:r w:rsidR="0056475F" w:rsidRPr="000A6B0A">
        <w:rPr>
          <w:rFonts w:asciiTheme="minorHAnsi" w:hAnsiTheme="minorHAnsi"/>
          <w:sz w:val="22"/>
          <w:szCs w:val="22"/>
          <w:lang w:val="en-GB"/>
        </w:rPr>
        <w:t xml:space="preserve"> </w:t>
      </w:r>
      <w:r w:rsidRPr="000A6B0A">
        <w:rPr>
          <w:rFonts w:asciiTheme="minorHAnsi" w:hAnsiTheme="minorHAnsi"/>
          <w:sz w:val="22"/>
          <w:szCs w:val="22"/>
          <w:lang w:val="en-GB"/>
        </w:rPr>
        <w:t>appear to differ across countries</w:t>
      </w:r>
      <w:r w:rsidR="00A676E3">
        <w:rPr>
          <w:rStyle w:val="Appelnotedebasdep"/>
          <w:rFonts w:asciiTheme="minorHAnsi" w:hAnsiTheme="minorHAnsi"/>
          <w:sz w:val="22"/>
          <w:szCs w:val="22"/>
          <w:lang w:val="en-GB"/>
        </w:rPr>
        <w:footnoteReference w:id="33"/>
      </w:r>
      <w:r w:rsidRPr="000A6B0A">
        <w:rPr>
          <w:rFonts w:asciiTheme="minorHAnsi" w:hAnsiTheme="minorHAnsi"/>
          <w:sz w:val="22"/>
          <w:szCs w:val="22"/>
          <w:lang w:val="en-GB"/>
        </w:rPr>
        <w:t>;</w:t>
      </w:r>
    </w:p>
    <w:p w:rsidR="001E3837" w:rsidRPr="000A6B0A" w:rsidRDefault="001E3837" w:rsidP="00E561FB">
      <w:pPr>
        <w:numPr>
          <w:ilvl w:val="0"/>
          <w:numId w:val="8"/>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There are also key differences in the </w:t>
      </w:r>
      <w:r w:rsidRPr="000A6B0A">
        <w:rPr>
          <w:rFonts w:asciiTheme="minorHAnsi" w:hAnsiTheme="minorHAnsi"/>
          <w:b/>
          <w:sz w:val="22"/>
          <w:szCs w:val="22"/>
          <w:lang w:val="en-GB"/>
        </w:rPr>
        <w:t>periodicity of access charges reviews</w:t>
      </w:r>
      <w:r w:rsidRPr="000A6B0A">
        <w:rPr>
          <w:rFonts w:asciiTheme="minorHAnsi" w:hAnsiTheme="minorHAnsi"/>
          <w:sz w:val="22"/>
          <w:szCs w:val="22"/>
          <w:lang w:val="en-GB"/>
        </w:rPr>
        <w:t xml:space="preserve">. In the UK </w:t>
      </w:r>
      <w:r w:rsidR="004E176B" w:rsidRPr="000A6B0A">
        <w:rPr>
          <w:rFonts w:asciiTheme="minorHAnsi" w:hAnsiTheme="minorHAnsi"/>
          <w:sz w:val="22"/>
          <w:szCs w:val="22"/>
          <w:lang w:val="en-GB"/>
        </w:rPr>
        <w:t xml:space="preserve">or in Hungary, </w:t>
      </w:r>
      <w:r w:rsidRPr="000A6B0A">
        <w:rPr>
          <w:rFonts w:asciiTheme="minorHAnsi" w:hAnsiTheme="minorHAnsi"/>
          <w:sz w:val="22"/>
          <w:szCs w:val="22"/>
          <w:lang w:val="en-GB"/>
        </w:rPr>
        <w:t xml:space="preserve">charges are reviewed every five years, whereas </w:t>
      </w:r>
      <w:r w:rsidR="00893928" w:rsidRPr="000A6B0A">
        <w:rPr>
          <w:rFonts w:asciiTheme="minorHAnsi" w:hAnsiTheme="minorHAnsi"/>
          <w:sz w:val="22"/>
          <w:szCs w:val="22"/>
          <w:lang w:val="en-GB"/>
        </w:rPr>
        <w:t xml:space="preserve">in most other countries, </w:t>
      </w:r>
      <w:r w:rsidR="00641986" w:rsidRPr="000A6B0A">
        <w:rPr>
          <w:rFonts w:asciiTheme="minorHAnsi" w:hAnsiTheme="minorHAnsi"/>
          <w:sz w:val="22"/>
          <w:szCs w:val="22"/>
          <w:lang w:val="en-GB"/>
        </w:rPr>
        <w:t xml:space="preserve">for example </w:t>
      </w:r>
      <w:r w:rsidRPr="000A6B0A">
        <w:rPr>
          <w:rFonts w:asciiTheme="minorHAnsi" w:hAnsiTheme="minorHAnsi"/>
          <w:sz w:val="22"/>
          <w:szCs w:val="22"/>
          <w:lang w:val="en-GB"/>
        </w:rPr>
        <w:t xml:space="preserve">in France </w:t>
      </w:r>
      <w:r w:rsidR="00641986" w:rsidRPr="000A6B0A">
        <w:rPr>
          <w:rFonts w:asciiTheme="minorHAnsi" w:hAnsiTheme="minorHAnsi"/>
          <w:sz w:val="22"/>
          <w:szCs w:val="22"/>
          <w:lang w:val="en-GB"/>
        </w:rPr>
        <w:t>and Poland</w:t>
      </w:r>
      <w:r w:rsidR="00893928" w:rsidRPr="000A6B0A">
        <w:rPr>
          <w:rFonts w:asciiTheme="minorHAnsi" w:hAnsiTheme="minorHAnsi"/>
          <w:sz w:val="22"/>
          <w:szCs w:val="22"/>
          <w:lang w:val="en-GB"/>
        </w:rPr>
        <w:t>,</w:t>
      </w:r>
      <w:r w:rsidR="00641986" w:rsidRPr="000A6B0A">
        <w:rPr>
          <w:rFonts w:asciiTheme="minorHAnsi" w:hAnsiTheme="minorHAnsi"/>
          <w:sz w:val="22"/>
          <w:szCs w:val="22"/>
          <w:lang w:val="en-GB"/>
        </w:rPr>
        <w:t xml:space="preserve"> </w:t>
      </w:r>
      <w:r w:rsidRPr="000A6B0A">
        <w:rPr>
          <w:rFonts w:asciiTheme="minorHAnsi" w:hAnsiTheme="minorHAnsi"/>
          <w:sz w:val="22"/>
          <w:szCs w:val="22"/>
          <w:lang w:val="en-GB"/>
        </w:rPr>
        <w:t>this is done on an annual basis.</w:t>
      </w:r>
      <w:r w:rsidR="00BB705B" w:rsidRPr="000A6B0A">
        <w:rPr>
          <w:rFonts w:asciiTheme="minorHAnsi" w:hAnsiTheme="minorHAnsi"/>
          <w:sz w:val="22"/>
          <w:szCs w:val="22"/>
          <w:lang w:val="en-GB"/>
        </w:rPr>
        <w:t xml:space="preserve"> In Italy</w:t>
      </w:r>
      <w:r w:rsidR="000D77BF">
        <w:rPr>
          <w:rFonts w:asciiTheme="minorHAnsi" w:hAnsiTheme="minorHAnsi"/>
          <w:sz w:val="22"/>
          <w:szCs w:val="22"/>
          <w:lang w:val="en-GB"/>
        </w:rPr>
        <w:t xml:space="preserve"> and Germany</w:t>
      </w:r>
      <w:r w:rsidR="00BB705B" w:rsidRPr="000A6B0A">
        <w:rPr>
          <w:rFonts w:asciiTheme="minorHAnsi" w:hAnsiTheme="minorHAnsi"/>
          <w:sz w:val="22"/>
          <w:szCs w:val="22"/>
          <w:lang w:val="en-GB"/>
        </w:rPr>
        <w:t>, while the regulatory period lasts 5 years, access charges are updated every year (adjusting, as an example, for inflation and traffic forecasts).</w:t>
      </w:r>
      <w:r w:rsidR="00397281">
        <w:rPr>
          <w:rFonts w:asciiTheme="minorHAnsi" w:hAnsiTheme="minorHAnsi"/>
          <w:sz w:val="22"/>
          <w:szCs w:val="22"/>
          <w:lang w:val="en-GB"/>
        </w:rPr>
        <w:t xml:space="preserve"> In Italy, a review at mid-term (spring 2018) is foreseen.</w:t>
      </w:r>
    </w:p>
    <w:p w:rsidR="00831856" w:rsidRPr="000A6B0A" w:rsidRDefault="00831856" w:rsidP="00603222">
      <w:pPr>
        <w:spacing w:line="276" w:lineRule="auto"/>
        <w:jc w:val="both"/>
        <w:rPr>
          <w:rFonts w:asciiTheme="minorHAnsi" w:hAnsiTheme="minorHAnsi"/>
          <w:sz w:val="22"/>
          <w:szCs w:val="22"/>
          <w:lang w:val="en-GB"/>
        </w:rPr>
      </w:pPr>
    </w:p>
    <w:p w:rsidR="001E3837" w:rsidRPr="000A6B0A" w:rsidRDefault="001E3837" w:rsidP="005575E0">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Depending on the number of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in each country, </w:t>
      </w:r>
      <w:r w:rsidRPr="000A6B0A">
        <w:rPr>
          <w:rFonts w:asciiTheme="minorHAnsi" w:hAnsiTheme="minorHAnsi"/>
          <w:b/>
          <w:sz w:val="22"/>
          <w:szCs w:val="22"/>
          <w:lang w:val="en-GB"/>
        </w:rPr>
        <w:t xml:space="preserve">charging practices may also differ within an individual IRG-Rail Member </w:t>
      </w:r>
      <w:r w:rsidR="00397281">
        <w:rPr>
          <w:rFonts w:asciiTheme="minorHAnsi" w:hAnsiTheme="minorHAnsi"/>
          <w:b/>
          <w:sz w:val="22"/>
          <w:szCs w:val="22"/>
          <w:lang w:val="en-GB"/>
        </w:rPr>
        <w:t>S</w:t>
      </w:r>
      <w:r w:rsidRPr="000A6B0A">
        <w:rPr>
          <w:rFonts w:asciiTheme="minorHAnsi" w:hAnsiTheme="minorHAnsi"/>
          <w:b/>
          <w:sz w:val="22"/>
          <w:szCs w:val="22"/>
          <w:lang w:val="en-GB"/>
        </w:rPr>
        <w:t>tate</w:t>
      </w:r>
      <w:r w:rsidRPr="000A6B0A">
        <w:rPr>
          <w:rFonts w:asciiTheme="minorHAnsi" w:hAnsiTheme="minorHAnsi"/>
          <w:sz w:val="22"/>
          <w:szCs w:val="22"/>
          <w:lang w:val="en-GB"/>
        </w:rPr>
        <w:t xml:space="preserve">. Our analysis has only focused on general trends for the main </w:t>
      </w:r>
      <w:r w:rsidRPr="000A6B0A">
        <w:rPr>
          <w:rFonts w:asciiTheme="minorHAnsi" w:hAnsiTheme="minorHAnsi"/>
          <w:sz w:val="22"/>
          <w:szCs w:val="22"/>
          <w:lang w:val="en-GB"/>
        </w:rPr>
        <w:lastRenderedPageBreak/>
        <w:t xml:space="preserve">line network within each Member </w:t>
      </w:r>
      <w:r w:rsidR="00397281">
        <w:rPr>
          <w:rFonts w:asciiTheme="minorHAnsi" w:hAnsiTheme="minorHAnsi"/>
          <w:sz w:val="22"/>
          <w:szCs w:val="22"/>
          <w:lang w:val="en-GB"/>
        </w:rPr>
        <w:t>S</w:t>
      </w:r>
      <w:r w:rsidRPr="000A6B0A">
        <w:rPr>
          <w:rFonts w:asciiTheme="minorHAnsi" w:hAnsiTheme="minorHAnsi"/>
          <w:sz w:val="22"/>
          <w:szCs w:val="22"/>
          <w:lang w:val="en-GB"/>
        </w:rPr>
        <w:t xml:space="preserve">tate and does not address charging systems of local passenger or freight networks or separate high speed lines. </w:t>
      </w:r>
      <w:bookmarkStart w:id="9" w:name="_Ref327867683"/>
    </w:p>
    <w:bookmarkEnd w:id="9"/>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1E383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addition to the access charge reflecting direct costs incurred for the use of th</w:t>
      </w:r>
      <w:r w:rsidR="00603222" w:rsidRPr="000A6B0A">
        <w:rPr>
          <w:rFonts w:asciiTheme="minorHAnsi" w:hAnsiTheme="minorHAnsi"/>
          <w:sz w:val="22"/>
          <w:szCs w:val="22"/>
          <w:lang w:val="en-GB"/>
        </w:rPr>
        <w:t xml:space="preserve">e network targeted by </w:t>
      </w:r>
      <w:r w:rsidR="00397281">
        <w:rPr>
          <w:rFonts w:asciiTheme="minorHAnsi" w:hAnsiTheme="minorHAnsi"/>
          <w:sz w:val="22"/>
          <w:szCs w:val="22"/>
          <w:lang w:val="en-GB"/>
        </w:rPr>
        <w:t>A</w:t>
      </w:r>
      <w:r w:rsidR="00603222" w:rsidRPr="000A6B0A">
        <w:rPr>
          <w:rFonts w:asciiTheme="minorHAnsi" w:hAnsiTheme="minorHAnsi"/>
          <w:sz w:val="22"/>
          <w:szCs w:val="22"/>
          <w:lang w:val="en-GB"/>
        </w:rPr>
        <w:t>rticle 31</w:t>
      </w:r>
      <w:r w:rsidR="009559B9" w:rsidRPr="000A6B0A">
        <w:rPr>
          <w:rFonts w:asciiTheme="minorHAnsi" w:hAnsiTheme="minorHAnsi"/>
          <w:sz w:val="22"/>
          <w:szCs w:val="22"/>
          <w:lang w:val="en-GB"/>
        </w:rPr>
        <w:t>(3) of D</w:t>
      </w:r>
      <w:r w:rsidRPr="000A6B0A">
        <w:rPr>
          <w:rFonts w:asciiTheme="minorHAnsi" w:hAnsiTheme="minorHAnsi"/>
          <w:sz w:val="22"/>
          <w:szCs w:val="22"/>
          <w:lang w:val="en-GB"/>
        </w:rPr>
        <w:t>irective 20</w:t>
      </w:r>
      <w:r w:rsidR="00603222" w:rsidRPr="000A6B0A">
        <w:rPr>
          <w:rFonts w:asciiTheme="minorHAnsi" w:hAnsiTheme="minorHAnsi"/>
          <w:sz w:val="22"/>
          <w:szCs w:val="22"/>
          <w:lang w:val="en-GB"/>
        </w:rPr>
        <w:t>12/3</w:t>
      </w:r>
      <w:r w:rsidRPr="000A6B0A">
        <w:rPr>
          <w:rFonts w:asciiTheme="minorHAnsi" w:hAnsiTheme="minorHAnsi"/>
          <w:sz w:val="22"/>
          <w:szCs w:val="22"/>
          <w:lang w:val="en-GB"/>
        </w:rPr>
        <w:t>4/E</w:t>
      </w:r>
      <w:r w:rsidR="009559B9" w:rsidRPr="000A6B0A">
        <w:rPr>
          <w:rFonts w:asciiTheme="minorHAnsi" w:hAnsiTheme="minorHAnsi"/>
          <w:sz w:val="22"/>
          <w:szCs w:val="22"/>
          <w:lang w:val="en-GB"/>
        </w:rPr>
        <w:t>U</w:t>
      </w:r>
      <w:r w:rsidRPr="000A6B0A">
        <w:rPr>
          <w:rFonts w:asciiTheme="minorHAnsi" w:hAnsiTheme="minorHAnsi"/>
          <w:sz w:val="22"/>
          <w:szCs w:val="22"/>
          <w:lang w:val="en-GB"/>
        </w:rPr>
        <w:t xml:space="preserve">, most national charging systems </w:t>
      </w:r>
      <w:r w:rsidR="00A202CC" w:rsidRPr="000A6B0A">
        <w:rPr>
          <w:rFonts w:asciiTheme="minorHAnsi" w:hAnsiTheme="minorHAnsi"/>
          <w:sz w:val="22"/>
          <w:szCs w:val="22"/>
          <w:lang w:val="en-GB"/>
        </w:rPr>
        <w:t xml:space="preserve">consider </w:t>
      </w:r>
      <w:r w:rsidRPr="000A6B0A">
        <w:rPr>
          <w:rFonts w:asciiTheme="minorHAnsi" w:hAnsiTheme="minorHAnsi"/>
          <w:sz w:val="22"/>
          <w:szCs w:val="22"/>
          <w:lang w:val="en-GB"/>
        </w:rPr>
        <w:t xml:space="preserve">other charges. In order to avoid </w:t>
      </w:r>
      <w:r w:rsidR="00A202CC" w:rsidRPr="000A6B0A">
        <w:rPr>
          <w:rFonts w:asciiTheme="minorHAnsi" w:hAnsiTheme="minorHAnsi"/>
          <w:sz w:val="22"/>
          <w:szCs w:val="22"/>
          <w:lang w:val="en-GB"/>
        </w:rPr>
        <w:t>confusion</w:t>
      </w:r>
      <w:r w:rsidRPr="000A6B0A">
        <w:rPr>
          <w:rFonts w:asciiTheme="minorHAnsi" w:hAnsiTheme="minorHAnsi"/>
          <w:sz w:val="22"/>
          <w:szCs w:val="22"/>
          <w:lang w:val="en-GB"/>
        </w:rPr>
        <w:t>, common understandings of th</w:t>
      </w:r>
      <w:r w:rsidR="00DC105B" w:rsidRPr="000A6B0A">
        <w:rPr>
          <w:rFonts w:asciiTheme="minorHAnsi" w:hAnsiTheme="minorHAnsi"/>
          <w:sz w:val="22"/>
          <w:szCs w:val="22"/>
          <w:lang w:val="en-GB"/>
        </w:rPr>
        <w:t>e</w:t>
      </w:r>
      <w:r w:rsidRPr="000A6B0A">
        <w:rPr>
          <w:rFonts w:asciiTheme="minorHAnsi" w:hAnsiTheme="minorHAnsi"/>
          <w:sz w:val="22"/>
          <w:szCs w:val="22"/>
          <w:lang w:val="en-GB"/>
        </w:rPr>
        <w:t xml:space="preserve">se additional charges are </w:t>
      </w:r>
      <w:r w:rsidR="00DC105B" w:rsidRPr="000A6B0A">
        <w:rPr>
          <w:rFonts w:asciiTheme="minorHAnsi" w:hAnsiTheme="minorHAnsi"/>
          <w:sz w:val="22"/>
          <w:szCs w:val="22"/>
          <w:lang w:val="en-GB"/>
        </w:rPr>
        <w:t>detailed below</w:t>
      </w:r>
      <w:r w:rsidR="00294CCF">
        <w:rPr>
          <w:rFonts w:asciiTheme="minorHAnsi" w:hAnsiTheme="minorHAnsi"/>
          <w:sz w:val="22"/>
          <w:szCs w:val="22"/>
          <w:lang w:val="en-GB"/>
        </w:rPr>
        <w:t>:</w:t>
      </w:r>
    </w:p>
    <w:p w:rsidR="003A3596" w:rsidRPr="000A6B0A" w:rsidRDefault="003A3596" w:rsidP="00603222">
      <w:pPr>
        <w:spacing w:line="276" w:lineRule="auto"/>
        <w:jc w:val="both"/>
        <w:rPr>
          <w:rFonts w:asciiTheme="minorHAnsi" w:hAnsiTheme="minorHAnsi"/>
          <w:sz w:val="22"/>
          <w:szCs w:val="22"/>
          <w:lang w:val="en-GB"/>
        </w:rPr>
      </w:pPr>
    </w:p>
    <w:p w:rsidR="001E3837" w:rsidRPr="000A6B0A" w:rsidRDefault="001E3837" w:rsidP="00E561FB">
      <w:pPr>
        <w:numPr>
          <w:ilvl w:val="0"/>
          <w:numId w:val="9"/>
        </w:numPr>
        <w:tabs>
          <w:tab w:val="clear" w:pos="720"/>
          <w:tab w:val="num" w:pos="360"/>
        </w:tabs>
        <w:spacing w:line="276" w:lineRule="auto"/>
        <w:ind w:hanging="720"/>
        <w:jc w:val="both"/>
        <w:rPr>
          <w:rFonts w:asciiTheme="minorHAnsi" w:hAnsiTheme="minorHAnsi"/>
          <w:b/>
          <w:sz w:val="22"/>
          <w:szCs w:val="22"/>
          <w:lang w:val="en-GB"/>
        </w:rPr>
      </w:pPr>
      <w:r w:rsidRPr="000A6B0A">
        <w:rPr>
          <w:rFonts w:asciiTheme="minorHAnsi" w:hAnsiTheme="minorHAnsi"/>
          <w:b/>
          <w:sz w:val="22"/>
          <w:szCs w:val="22"/>
          <w:lang w:val="en-GB"/>
        </w:rPr>
        <w:t>Congestion and scarcity charges</w:t>
      </w:r>
      <w:r w:rsidR="00603222" w:rsidRPr="000A6B0A">
        <w:rPr>
          <w:rStyle w:val="Appelnotedebasdep"/>
          <w:b/>
          <w:sz w:val="22"/>
          <w:szCs w:val="22"/>
          <w:lang w:val="en-GB"/>
        </w:rPr>
        <w:footnoteReference w:id="34"/>
      </w:r>
    </w:p>
    <w:p w:rsidR="001E3837" w:rsidRPr="000A6B0A" w:rsidRDefault="001E3837" w:rsidP="00603222">
      <w:pPr>
        <w:spacing w:line="276" w:lineRule="auto"/>
        <w:jc w:val="both"/>
        <w:rPr>
          <w:rFonts w:asciiTheme="minorHAnsi" w:hAnsiTheme="minorHAnsi"/>
          <w:sz w:val="22"/>
          <w:szCs w:val="22"/>
          <w:lang w:val="en-GB"/>
        </w:rPr>
      </w:pPr>
    </w:p>
    <w:p w:rsidR="001E3837" w:rsidRPr="000A6B0A" w:rsidRDefault="001E3837" w:rsidP="00603222">
      <w:pPr>
        <w:spacing w:line="276" w:lineRule="auto"/>
        <w:jc w:val="both"/>
        <w:rPr>
          <w:rFonts w:asciiTheme="minorHAnsi" w:hAnsiTheme="minorHAnsi"/>
          <w:i/>
          <w:sz w:val="22"/>
          <w:szCs w:val="22"/>
          <w:lang w:val="en-GB"/>
        </w:rPr>
      </w:pPr>
      <w:r w:rsidRPr="000A6B0A">
        <w:rPr>
          <w:rFonts w:asciiTheme="minorHAnsi" w:hAnsiTheme="minorHAnsi"/>
          <w:sz w:val="22"/>
          <w:szCs w:val="22"/>
          <w:lang w:val="en-GB"/>
        </w:rPr>
        <w:t>The issue of scarcity and c</w:t>
      </w:r>
      <w:r w:rsidR="008E31A9" w:rsidRPr="000A6B0A">
        <w:rPr>
          <w:rFonts w:asciiTheme="minorHAnsi" w:hAnsiTheme="minorHAnsi"/>
          <w:sz w:val="22"/>
          <w:szCs w:val="22"/>
          <w:lang w:val="en-GB"/>
        </w:rPr>
        <w:t>ongestion is addressed in Art</w:t>
      </w:r>
      <w:r w:rsidR="005575E0" w:rsidRPr="000A6B0A">
        <w:rPr>
          <w:rFonts w:asciiTheme="minorHAnsi" w:hAnsiTheme="minorHAnsi"/>
          <w:sz w:val="22"/>
          <w:szCs w:val="22"/>
          <w:lang w:val="en-GB"/>
        </w:rPr>
        <w:t>icle</w:t>
      </w:r>
      <w:r w:rsidR="008E31A9" w:rsidRPr="000A6B0A">
        <w:rPr>
          <w:rFonts w:asciiTheme="minorHAnsi" w:hAnsiTheme="minorHAnsi"/>
          <w:sz w:val="22"/>
          <w:szCs w:val="22"/>
          <w:lang w:val="en-GB"/>
        </w:rPr>
        <w:t xml:space="preserve"> 31(4) of Directive 2012/34/EU</w:t>
      </w:r>
      <w:r w:rsidRPr="000A6B0A">
        <w:rPr>
          <w:rFonts w:asciiTheme="minorHAnsi" w:hAnsiTheme="minorHAnsi"/>
          <w:sz w:val="22"/>
          <w:szCs w:val="22"/>
          <w:lang w:val="en-GB"/>
        </w:rPr>
        <w:t>. It states that “</w:t>
      </w:r>
      <w:r w:rsidRPr="000A6B0A">
        <w:rPr>
          <w:rFonts w:asciiTheme="minorHAnsi" w:hAnsiTheme="minorHAnsi"/>
          <w:i/>
          <w:sz w:val="22"/>
          <w:szCs w:val="22"/>
          <w:lang w:val="en-GB"/>
        </w:rPr>
        <w:t xml:space="preserve">the infrastructure charge may include a charge which reflects the scarcity of capacity of the identifiable </w:t>
      </w:r>
      <w:r w:rsidR="007B25E8" w:rsidRPr="000A6B0A">
        <w:rPr>
          <w:rFonts w:asciiTheme="minorHAnsi" w:hAnsiTheme="minorHAnsi"/>
          <w:i/>
          <w:sz w:val="22"/>
          <w:szCs w:val="22"/>
          <w:lang w:val="en-GB"/>
        </w:rPr>
        <w:t xml:space="preserve">section </w:t>
      </w:r>
      <w:r w:rsidRPr="000A6B0A">
        <w:rPr>
          <w:rFonts w:asciiTheme="minorHAnsi" w:hAnsiTheme="minorHAnsi"/>
          <w:i/>
          <w:sz w:val="22"/>
          <w:szCs w:val="22"/>
          <w:lang w:val="en-GB"/>
        </w:rPr>
        <w:t>of the infrastructure during periods of congestion.”</w:t>
      </w:r>
    </w:p>
    <w:p w:rsidR="007B25E8" w:rsidRPr="000A6B0A" w:rsidRDefault="007B25E8" w:rsidP="00603222">
      <w:pPr>
        <w:spacing w:line="276" w:lineRule="auto"/>
        <w:jc w:val="both"/>
        <w:rPr>
          <w:rFonts w:asciiTheme="minorHAnsi" w:hAnsiTheme="minorHAnsi"/>
          <w:sz w:val="22"/>
          <w:szCs w:val="22"/>
          <w:lang w:val="en-GB"/>
        </w:rPr>
      </w:pPr>
    </w:p>
    <w:p w:rsidR="001E3837" w:rsidRPr="000A6B0A" w:rsidRDefault="00DC105B" w:rsidP="00DC105B">
      <w:pPr>
        <w:jc w:val="both"/>
        <w:rPr>
          <w:rFonts w:asciiTheme="minorHAnsi" w:hAnsiTheme="minorHAnsi"/>
          <w:sz w:val="22"/>
          <w:szCs w:val="22"/>
          <w:lang w:val="en-GB"/>
        </w:rPr>
      </w:pPr>
      <w:r w:rsidRPr="000A6B0A">
        <w:rPr>
          <w:rFonts w:asciiTheme="minorHAnsi" w:hAnsiTheme="minorHAnsi"/>
          <w:sz w:val="22"/>
          <w:szCs w:val="22"/>
          <w:lang w:val="en-GB"/>
        </w:rPr>
        <w:t xml:space="preserve">A table setting out whether national </w:t>
      </w:r>
      <w:r w:rsidR="002123F8">
        <w:rPr>
          <w:rFonts w:asciiTheme="minorHAnsi" w:hAnsiTheme="minorHAnsi"/>
          <w:sz w:val="22"/>
          <w:szCs w:val="22"/>
          <w:lang w:val="en-GB"/>
        </w:rPr>
        <w:t>IMs</w:t>
      </w:r>
      <w:r w:rsidRPr="000A6B0A">
        <w:rPr>
          <w:rFonts w:asciiTheme="minorHAnsi" w:hAnsiTheme="minorHAnsi"/>
          <w:sz w:val="22"/>
          <w:szCs w:val="22"/>
          <w:lang w:val="en-GB"/>
        </w:rPr>
        <w:t xml:space="preserve"> include scarcity charge</w:t>
      </w:r>
      <w:r w:rsidR="00397281">
        <w:rPr>
          <w:rFonts w:asciiTheme="minorHAnsi" w:hAnsiTheme="minorHAnsi"/>
          <w:sz w:val="22"/>
          <w:szCs w:val="22"/>
          <w:lang w:val="en-GB"/>
        </w:rPr>
        <w:t>s</w:t>
      </w:r>
      <w:r w:rsidRPr="000A6B0A">
        <w:rPr>
          <w:rFonts w:asciiTheme="minorHAnsi" w:hAnsiTheme="minorHAnsi"/>
          <w:sz w:val="22"/>
          <w:szCs w:val="22"/>
          <w:lang w:val="en-GB"/>
        </w:rPr>
        <w:t xml:space="preserve"> within their pricing schemes is included </w:t>
      </w:r>
      <w:r w:rsidR="005575E0" w:rsidRPr="000A6B0A">
        <w:rPr>
          <w:rFonts w:asciiTheme="minorHAnsi" w:hAnsiTheme="minorHAnsi"/>
          <w:sz w:val="22"/>
          <w:szCs w:val="22"/>
          <w:lang w:val="en-GB"/>
        </w:rPr>
        <w:t>below.</w:t>
      </w: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rPr>
      </w:pPr>
    </w:p>
    <w:p w:rsidR="001E3837" w:rsidRPr="000A6B0A" w:rsidRDefault="00DC105B" w:rsidP="00E561FB">
      <w:pPr>
        <w:numPr>
          <w:ilvl w:val="0"/>
          <w:numId w:val="9"/>
        </w:numPr>
        <w:tabs>
          <w:tab w:val="clear" w:pos="720"/>
          <w:tab w:val="num" w:pos="360"/>
        </w:tabs>
        <w:spacing w:line="276" w:lineRule="auto"/>
        <w:ind w:hanging="720"/>
        <w:jc w:val="both"/>
        <w:rPr>
          <w:rFonts w:asciiTheme="minorHAnsi" w:hAnsiTheme="minorHAnsi"/>
          <w:b/>
          <w:sz w:val="22"/>
          <w:szCs w:val="22"/>
          <w:lang w:val="en-GB"/>
        </w:rPr>
      </w:pPr>
      <w:r w:rsidRPr="000A6B0A">
        <w:rPr>
          <w:rFonts w:asciiTheme="minorHAnsi" w:hAnsiTheme="minorHAnsi"/>
          <w:b/>
          <w:sz w:val="22"/>
          <w:szCs w:val="22"/>
          <w:lang w:val="en-GB"/>
        </w:rPr>
        <w:t>Environmental charges</w:t>
      </w:r>
    </w:p>
    <w:p w:rsidR="00DC105B" w:rsidRPr="000A6B0A" w:rsidRDefault="00DC105B" w:rsidP="00DC105B">
      <w:pPr>
        <w:spacing w:line="276" w:lineRule="auto"/>
        <w:ind w:left="720"/>
        <w:jc w:val="both"/>
        <w:rPr>
          <w:rFonts w:asciiTheme="minorHAnsi" w:hAnsiTheme="minorHAnsi"/>
          <w:b/>
          <w:sz w:val="22"/>
          <w:szCs w:val="22"/>
          <w:lang w:val="en-GB"/>
        </w:rPr>
      </w:pPr>
    </w:p>
    <w:p w:rsidR="001E3837" w:rsidRPr="000A6B0A" w:rsidRDefault="00831856" w:rsidP="00603222">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Directive 20</w:t>
      </w:r>
      <w:r w:rsidR="001E3837" w:rsidRPr="000A6B0A">
        <w:rPr>
          <w:rFonts w:asciiTheme="minorHAnsi" w:hAnsiTheme="minorHAnsi"/>
          <w:sz w:val="22"/>
          <w:szCs w:val="22"/>
          <w:lang w:val="en-GB"/>
        </w:rPr>
        <w:t>1</w:t>
      </w:r>
      <w:r w:rsidRPr="000A6B0A">
        <w:rPr>
          <w:rFonts w:asciiTheme="minorHAnsi" w:hAnsiTheme="minorHAnsi"/>
          <w:sz w:val="22"/>
          <w:szCs w:val="22"/>
          <w:lang w:val="en-GB"/>
        </w:rPr>
        <w:t>2/34/EU</w:t>
      </w:r>
      <w:r w:rsidR="004F0458" w:rsidRPr="000A6B0A">
        <w:rPr>
          <w:rFonts w:asciiTheme="minorHAnsi" w:hAnsiTheme="minorHAnsi"/>
          <w:sz w:val="22"/>
          <w:szCs w:val="22"/>
          <w:lang w:val="en-GB"/>
        </w:rPr>
        <w:t xml:space="preserve"> states, under Article 31</w:t>
      </w:r>
      <w:r w:rsidR="001E3837" w:rsidRPr="000A6B0A">
        <w:rPr>
          <w:rFonts w:asciiTheme="minorHAnsi" w:hAnsiTheme="minorHAnsi"/>
          <w:sz w:val="22"/>
          <w:szCs w:val="22"/>
          <w:lang w:val="en-GB"/>
        </w:rPr>
        <w:t>(5), that "</w:t>
      </w:r>
      <w:r w:rsidR="001E3837" w:rsidRPr="000A6B0A">
        <w:rPr>
          <w:rFonts w:asciiTheme="minorHAnsi" w:hAnsiTheme="minorHAnsi"/>
          <w:i/>
          <w:sz w:val="22"/>
          <w:szCs w:val="22"/>
          <w:lang w:val="en-GB"/>
        </w:rPr>
        <w:t>[t]he infrastructure charge may be modified to take account of the cost of the environmental effects caused by the operation of the train.</w:t>
      </w:r>
      <w:r w:rsidR="001E3837" w:rsidRPr="000A6B0A">
        <w:rPr>
          <w:rFonts w:asciiTheme="minorHAnsi" w:hAnsiTheme="minorHAnsi"/>
          <w:sz w:val="22"/>
          <w:szCs w:val="22"/>
          <w:lang w:val="en-GB"/>
        </w:rPr>
        <w:t xml:space="preserve">" It </w:t>
      </w:r>
      <w:r w:rsidR="002123F8">
        <w:rPr>
          <w:rFonts w:asciiTheme="minorHAnsi" w:hAnsiTheme="minorHAnsi"/>
          <w:sz w:val="22"/>
          <w:szCs w:val="22"/>
          <w:lang w:val="en-GB"/>
        </w:rPr>
        <w:t>also</w:t>
      </w:r>
      <w:r w:rsidR="001E3837" w:rsidRPr="000A6B0A">
        <w:rPr>
          <w:rFonts w:asciiTheme="minorHAnsi" w:hAnsiTheme="minorHAnsi"/>
          <w:sz w:val="22"/>
          <w:szCs w:val="22"/>
          <w:lang w:val="en-GB"/>
        </w:rPr>
        <w:t xml:space="preserve"> stresses that</w:t>
      </w:r>
      <w:r w:rsidR="001E3837" w:rsidRPr="000A6B0A">
        <w:rPr>
          <w:rFonts w:asciiTheme="minorHAnsi" w:hAnsiTheme="minorHAnsi"/>
          <w:i/>
          <w:sz w:val="22"/>
          <w:szCs w:val="22"/>
          <w:lang w:val="en-GB"/>
        </w:rPr>
        <w:t xml:space="preserve"> </w:t>
      </w:r>
      <w:r w:rsidR="001E3837" w:rsidRPr="000A6B0A">
        <w:rPr>
          <w:rFonts w:asciiTheme="minorHAnsi" w:hAnsiTheme="minorHAnsi"/>
          <w:sz w:val="22"/>
          <w:szCs w:val="22"/>
          <w:lang w:val="en-GB"/>
        </w:rPr>
        <w:t>"</w:t>
      </w:r>
      <w:r w:rsidR="001E3837" w:rsidRPr="000A6B0A">
        <w:rPr>
          <w:rFonts w:asciiTheme="minorHAnsi" w:hAnsiTheme="minorHAnsi"/>
          <w:i/>
          <w:sz w:val="22"/>
          <w:szCs w:val="22"/>
          <w:lang w:val="en-GB"/>
        </w:rPr>
        <w:t>[s]uch a modification shall be differentiated according to the magnitude of the effect caused.</w:t>
      </w:r>
      <w:r w:rsidR="001E3837" w:rsidRPr="000A6B0A">
        <w:rPr>
          <w:rFonts w:asciiTheme="minorHAnsi" w:hAnsiTheme="minorHAnsi"/>
          <w:sz w:val="22"/>
          <w:szCs w:val="22"/>
          <w:lang w:val="en-GB"/>
        </w:rPr>
        <w:t>"</w:t>
      </w:r>
    </w:p>
    <w:p w:rsidR="001E3837" w:rsidRPr="000A6B0A" w:rsidRDefault="001E3837" w:rsidP="00603222">
      <w:pPr>
        <w:autoSpaceDE w:val="0"/>
        <w:autoSpaceDN w:val="0"/>
        <w:adjustRightInd w:val="0"/>
        <w:spacing w:line="276" w:lineRule="auto"/>
        <w:jc w:val="both"/>
        <w:rPr>
          <w:rFonts w:asciiTheme="minorHAnsi" w:hAnsiTheme="minorHAnsi"/>
          <w:sz w:val="22"/>
          <w:szCs w:val="22"/>
          <w:lang w:val="en-GB"/>
        </w:rPr>
      </w:pPr>
    </w:p>
    <w:p w:rsidR="000D77BF" w:rsidRDefault="00DC105B" w:rsidP="00603222">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S</w:t>
      </w:r>
      <w:r w:rsidR="001E3837" w:rsidRPr="000A6B0A">
        <w:rPr>
          <w:rFonts w:asciiTheme="minorHAnsi" w:hAnsiTheme="minorHAnsi"/>
          <w:sz w:val="22"/>
          <w:szCs w:val="22"/>
          <w:lang w:val="en-GB"/>
        </w:rPr>
        <w:t>ome countries have decided to put more emphasis on environmental externalities and promote c</w:t>
      </w:r>
      <w:r w:rsidR="00603222" w:rsidRPr="000A6B0A">
        <w:rPr>
          <w:rFonts w:asciiTheme="minorHAnsi" w:hAnsiTheme="minorHAnsi"/>
          <w:sz w:val="22"/>
          <w:szCs w:val="22"/>
          <w:lang w:val="en-GB"/>
        </w:rPr>
        <w:t>lean transport modes like rail</w:t>
      </w:r>
      <w:r w:rsidR="001E3837" w:rsidRPr="000A6B0A">
        <w:rPr>
          <w:rFonts w:asciiTheme="minorHAnsi" w:hAnsiTheme="minorHAnsi"/>
          <w:sz w:val="22"/>
          <w:szCs w:val="22"/>
          <w:lang w:val="en-GB"/>
        </w:rPr>
        <w:t>.</w:t>
      </w:r>
      <w:r w:rsidR="00192C9B" w:rsidRPr="000A6B0A">
        <w:rPr>
          <w:rFonts w:asciiTheme="minorHAnsi" w:hAnsiTheme="minorHAnsi"/>
          <w:sz w:val="22"/>
          <w:szCs w:val="22"/>
          <w:lang w:val="en-GB"/>
        </w:rPr>
        <w:t xml:space="preserve"> Germany uses an integra</w:t>
      </w:r>
      <w:r w:rsidRPr="000A6B0A">
        <w:rPr>
          <w:rFonts w:asciiTheme="minorHAnsi" w:hAnsiTheme="minorHAnsi"/>
          <w:sz w:val="22"/>
          <w:szCs w:val="22"/>
          <w:lang w:val="en-GB"/>
        </w:rPr>
        <w:t>ted system of bonus and malus</w:t>
      </w:r>
      <w:r w:rsidR="002243DE" w:rsidRPr="000A6B0A">
        <w:rPr>
          <w:rFonts w:asciiTheme="minorHAnsi" w:hAnsiTheme="minorHAnsi"/>
          <w:sz w:val="22"/>
          <w:szCs w:val="22"/>
          <w:lang w:val="en-GB"/>
        </w:rPr>
        <w:t xml:space="preserve"> for fr</w:t>
      </w:r>
      <w:r w:rsidR="002013B5" w:rsidRPr="000A6B0A">
        <w:rPr>
          <w:rFonts w:asciiTheme="minorHAnsi" w:hAnsiTheme="minorHAnsi"/>
          <w:sz w:val="22"/>
          <w:szCs w:val="22"/>
          <w:lang w:val="en-GB"/>
        </w:rPr>
        <w:t>e</w:t>
      </w:r>
      <w:r w:rsidR="002243DE" w:rsidRPr="000A6B0A">
        <w:rPr>
          <w:rFonts w:asciiTheme="minorHAnsi" w:hAnsiTheme="minorHAnsi"/>
          <w:sz w:val="22"/>
          <w:szCs w:val="22"/>
          <w:lang w:val="en-GB"/>
        </w:rPr>
        <w:t>ight traffic</w:t>
      </w:r>
      <w:r w:rsidRPr="000A6B0A">
        <w:rPr>
          <w:rFonts w:asciiTheme="minorHAnsi" w:hAnsiTheme="minorHAnsi"/>
          <w:sz w:val="22"/>
          <w:szCs w:val="22"/>
          <w:lang w:val="en-GB"/>
        </w:rPr>
        <w:t xml:space="preserve">: </w:t>
      </w:r>
      <w:r w:rsidR="00143C89" w:rsidRPr="000A6B0A">
        <w:rPr>
          <w:rFonts w:asciiTheme="minorHAnsi" w:hAnsiTheme="minorHAnsi"/>
          <w:sz w:val="22"/>
          <w:szCs w:val="22"/>
          <w:lang w:val="en-GB"/>
        </w:rPr>
        <w:t xml:space="preserve">a malus for all not retrofitted wagons running on the network and a </w:t>
      </w:r>
      <w:r w:rsidRPr="000A6B0A">
        <w:rPr>
          <w:rFonts w:asciiTheme="minorHAnsi" w:hAnsiTheme="minorHAnsi"/>
          <w:sz w:val="22"/>
          <w:szCs w:val="22"/>
          <w:lang w:val="en-GB"/>
        </w:rPr>
        <w:t>b</w:t>
      </w:r>
      <w:r w:rsidR="00192C9B" w:rsidRPr="000A6B0A">
        <w:rPr>
          <w:rFonts w:asciiTheme="minorHAnsi" w:hAnsiTheme="minorHAnsi"/>
          <w:sz w:val="22"/>
          <w:szCs w:val="22"/>
          <w:lang w:val="en-GB"/>
        </w:rPr>
        <w:t>onus for those wagons using retrofitted brake blocks.</w:t>
      </w:r>
      <w:r w:rsidR="00100361" w:rsidRPr="000A6B0A">
        <w:rPr>
          <w:rFonts w:asciiTheme="minorHAnsi" w:hAnsiTheme="minorHAnsi"/>
          <w:sz w:val="22"/>
          <w:szCs w:val="22"/>
          <w:lang w:val="en-GB"/>
        </w:rPr>
        <w:t xml:space="preserve"> In Italy, following the Decision 96/2015, the IM is allowed to include in the access charges a component that boosts the reduction of noise effects</w:t>
      </w:r>
      <w:r w:rsidR="00100361" w:rsidRPr="000A6B0A">
        <w:rPr>
          <w:rStyle w:val="Appelnotedebasdep"/>
          <w:rFonts w:asciiTheme="minorHAnsi" w:hAnsiTheme="minorHAnsi"/>
          <w:sz w:val="22"/>
          <w:szCs w:val="22"/>
          <w:lang w:val="en-GB"/>
        </w:rPr>
        <w:footnoteReference w:id="35"/>
      </w:r>
      <w:r w:rsidR="00100361" w:rsidRPr="000A6B0A">
        <w:rPr>
          <w:rFonts w:asciiTheme="minorHAnsi" w:hAnsiTheme="minorHAnsi"/>
          <w:sz w:val="22"/>
          <w:szCs w:val="22"/>
          <w:lang w:val="en-GB"/>
        </w:rPr>
        <w:t xml:space="preserve">. </w:t>
      </w:r>
      <w:r w:rsidR="00192C9B" w:rsidRPr="000A6B0A">
        <w:rPr>
          <w:rFonts w:asciiTheme="minorHAnsi" w:hAnsiTheme="minorHAnsi"/>
          <w:sz w:val="22"/>
          <w:szCs w:val="22"/>
          <w:lang w:val="en-GB"/>
        </w:rPr>
        <w:t xml:space="preserve"> </w:t>
      </w:r>
    </w:p>
    <w:p w:rsidR="000D77BF" w:rsidRDefault="000D77BF" w:rsidP="00603222">
      <w:pPr>
        <w:autoSpaceDE w:val="0"/>
        <w:autoSpaceDN w:val="0"/>
        <w:adjustRightInd w:val="0"/>
        <w:spacing w:line="276" w:lineRule="auto"/>
        <w:jc w:val="both"/>
        <w:rPr>
          <w:rFonts w:asciiTheme="minorHAnsi" w:hAnsiTheme="minorHAnsi"/>
          <w:sz w:val="22"/>
          <w:szCs w:val="22"/>
          <w:lang w:val="en-GB"/>
        </w:rPr>
      </w:pPr>
    </w:p>
    <w:p w:rsidR="001E3837" w:rsidRPr="000A6B0A" w:rsidRDefault="00DC105B" w:rsidP="00603222">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Environmental</w:t>
      </w:r>
      <w:r w:rsidR="001E3837" w:rsidRPr="000A6B0A">
        <w:rPr>
          <w:rFonts w:asciiTheme="minorHAnsi" w:hAnsiTheme="minorHAnsi"/>
          <w:sz w:val="22"/>
          <w:szCs w:val="22"/>
          <w:lang w:val="en-GB"/>
        </w:rPr>
        <w:t xml:space="preserve"> charges are used to create a level-playing field across all modes based on impacts on the environment. IRG-Rail considers that all modes should be charged in a way that prevents one mode from being at a disadvantage compared to others.</w:t>
      </w:r>
    </w:p>
    <w:p w:rsidR="00831856" w:rsidRPr="000A6B0A" w:rsidRDefault="00831856" w:rsidP="00603222">
      <w:pPr>
        <w:autoSpaceDE w:val="0"/>
        <w:autoSpaceDN w:val="0"/>
        <w:adjustRightInd w:val="0"/>
        <w:spacing w:line="276" w:lineRule="auto"/>
        <w:jc w:val="both"/>
        <w:rPr>
          <w:rFonts w:asciiTheme="minorHAnsi" w:hAnsiTheme="minorHAnsi"/>
          <w:sz w:val="22"/>
          <w:szCs w:val="22"/>
          <w:lang w:val="en-GB"/>
        </w:rPr>
      </w:pPr>
    </w:p>
    <w:p w:rsidR="00603222" w:rsidRPr="000A6B0A" w:rsidRDefault="00831856" w:rsidP="00E561FB">
      <w:pPr>
        <w:numPr>
          <w:ilvl w:val="0"/>
          <w:numId w:val="27"/>
        </w:numPr>
        <w:tabs>
          <w:tab w:val="num" w:pos="360"/>
        </w:tabs>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b/>
          <w:sz w:val="22"/>
          <w:szCs w:val="22"/>
          <w:lang w:val="en-GB"/>
        </w:rPr>
        <w:t>Performance</w:t>
      </w:r>
      <w:r w:rsidR="004F0458" w:rsidRPr="000A6B0A">
        <w:rPr>
          <w:rFonts w:asciiTheme="minorHAnsi" w:hAnsiTheme="minorHAnsi"/>
          <w:b/>
          <w:sz w:val="22"/>
          <w:szCs w:val="22"/>
          <w:lang w:val="en-GB"/>
        </w:rPr>
        <w:t xml:space="preserve">: </w:t>
      </w:r>
    </w:p>
    <w:p w:rsidR="00603222" w:rsidRPr="000A6B0A" w:rsidRDefault="00603222" w:rsidP="00603222">
      <w:pPr>
        <w:autoSpaceDE w:val="0"/>
        <w:autoSpaceDN w:val="0"/>
        <w:adjustRightInd w:val="0"/>
        <w:spacing w:line="276" w:lineRule="auto"/>
        <w:jc w:val="both"/>
        <w:rPr>
          <w:rFonts w:asciiTheme="minorHAnsi" w:hAnsiTheme="minorHAnsi"/>
          <w:sz w:val="22"/>
          <w:szCs w:val="22"/>
          <w:lang w:val="en-GB"/>
        </w:rPr>
      </w:pPr>
    </w:p>
    <w:p w:rsidR="00294CCF" w:rsidRDefault="00DC105B" w:rsidP="00603222">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Directive 2012/34/EU states</w:t>
      </w:r>
      <w:r w:rsidR="00A451B5" w:rsidRPr="000A6B0A">
        <w:rPr>
          <w:rFonts w:asciiTheme="minorHAnsi" w:hAnsiTheme="minorHAnsi"/>
          <w:sz w:val="22"/>
          <w:szCs w:val="22"/>
          <w:lang w:val="en-GB"/>
        </w:rPr>
        <w:t>,</w:t>
      </w:r>
      <w:r w:rsidRPr="000A6B0A">
        <w:rPr>
          <w:rFonts w:asciiTheme="minorHAnsi" w:hAnsiTheme="minorHAnsi"/>
          <w:sz w:val="22"/>
          <w:szCs w:val="22"/>
          <w:lang w:val="en-GB"/>
        </w:rPr>
        <w:t xml:space="preserve"> under </w:t>
      </w:r>
      <w:r w:rsidR="00397281">
        <w:rPr>
          <w:rFonts w:asciiTheme="minorHAnsi" w:hAnsiTheme="minorHAnsi"/>
          <w:sz w:val="22"/>
          <w:szCs w:val="22"/>
          <w:lang w:val="en-GB"/>
        </w:rPr>
        <w:t>A</w:t>
      </w:r>
      <w:r w:rsidRPr="000A6B0A">
        <w:rPr>
          <w:rFonts w:asciiTheme="minorHAnsi" w:hAnsiTheme="minorHAnsi"/>
          <w:sz w:val="22"/>
          <w:szCs w:val="22"/>
          <w:lang w:val="en-GB"/>
        </w:rPr>
        <w:t>rticle 35</w:t>
      </w:r>
      <w:r w:rsidR="0019293D" w:rsidRPr="000A6B0A">
        <w:rPr>
          <w:rFonts w:asciiTheme="minorHAnsi" w:hAnsiTheme="minorHAnsi"/>
          <w:sz w:val="22"/>
          <w:szCs w:val="22"/>
          <w:lang w:val="en-GB"/>
        </w:rPr>
        <w:t>(</w:t>
      </w:r>
      <w:r w:rsidRPr="000A6B0A">
        <w:rPr>
          <w:rFonts w:asciiTheme="minorHAnsi" w:hAnsiTheme="minorHAnsi"/>
          <w:sz w:val="22"/>
          <w:szCs w:val="22"/>
          <w:lang w:val="en-GB"/>
        </w:rPr>
        <w:t>1</w:t>
      </w:r>
      <w:r w:rsidR="0019293D" w:rsidRPr="000A6B0A">
        <w:rPr>
          <w:rFonts w:asciiTheme="minorHAnsi" w:hAnsiTheme="minorHAnsi"/>
          <w:sz w:val="22"/>
          <w:szCs w:val="22"/>
          <w:lang w:val="en-GB"/>
        </w:rPr>
        <w:t>)</w:t>
      </w:r>
      <w:r w:rsidRPr="000A6B0A">
        <w:rPr>
          <w:rFonts w:asciiTheme="minorHAnsi" w:hAnsiTheme="minorHAnsi"/>
          <w:sz w:val="22"/>
          <w:szCs w:val="22"/>
          <w:lang w:val="en-GB"/>
        </w:rPr>
        <w:t>, that</w:t>
      </w:r>
      <w:r w:rsidRPr="000A6B0A">
        <w:rPr>
          <w:sz w:val="22"/>
          <w:szCs w:val="22"/>
          <w:lang w:val="en-GB"/>
        </w:rPr>
        <w:t xml:space="preserve"> </w:t>
      </w:r>
      <w:r w:rsidR="004F0458" w:rsidRPr="000A6B0A">
        <w:rPr>
          <w:rFonts w:asciiTheme="minorHAnsi" w:hAnsiTheme="minorHAnsi"/>
          <w:sz w:val="22"/>
          <w:szCs w:val="22"/>
          <w:lang w:val="en-GB"/>
        </w:rPr>
        <w:t>“[i]</w:t>
      </w:r>
      <w:r w:rsidR="004F0458" w:rsidRPr="000A6B0A">
        <w:rPr>
          <w:rFonts w:asciiTheme="minorHAnsi" w:hAnsiTheme="minorHAnsi"/>
          <w:i/>
          <w:sz w:val="22"/>
          <w:szCs w:val="22"/>
          <w:lang w:val="en-GB"/>
        </w:rPr>
        <w:t xml:space="preserve">nfrastructure charging schemes shall encourage railway undertakings and the infrastructure manager to minimise disruption and improve the performance of the railway network through a performance scheme. This scheme may include penalties for actions which disrupt the operation of the network, compensation for </w:t>
      </w:r>
      <w:r w:rsidR="004F0458" w:rsidRPr="000A6B0A">
        <w:rPr>
          <w:rFonts w:asciiTheme="minorHAnsi" w:hAnsiTheme="minorHAnsi"/>
          <w:i/>
          <w:sz w:val="22"/>
          <w:szCs w:val="22"/>
          <w:lang w:val="en-GB"/>
        </w:rPr>
        <w:lastRenderedPageBreak/>
        <w:t xml:space="preserve">undertakings which suffer from disruption and bonuses that reward better-than-planned </w:t>
      </w:r>
      <w:r w:rsidR="00580C20" w:rsidRPr="000A6B0A">
        <w:rPr>
          <w:rFonts w:asciiTheme="minorHAnsi" w:hAnsiTheme="minorHAnsi"/>
          <w:i/>
          <w:sz w:val="22"/>
          <w:szCs w:val="22"/>
          <w:lang w:val="en-GB"/>
        </w:rPr>
        <w:t>performance”</w:t>
      </w:r>
      <w:r w:rsidR="00580C20" w:rsidRPr="000A6B0A">
        <w:rPr>
          <w:rFonts w:asciiTheme="minorHAnsi" w:hAnsiTheme="minorHAnsi"/>
          <w:sz w:val="22"/>
          <w:szCs w:val="22"/>
          <w:lang w:val="en-GB"/>
        </w:rPr>
        <w:t>.</w:t>
      </w:r>
    </w:p>
    <w:p w:rsidR="00294CCF" w:rsidRPr="000A6B0A" w:rsidRDefault="00294CCF" w:rsidP="00603222">
      <w:pPr>
        <w:autoSpaceDE w:val="0"/>
        <w:autoSpaceDN w:val="0"/>
        <w:adjustRightInd w:val="0"/>
        <w:spacing w:line="276" w:lineRule="auto"/>
        <w:jc w:val="both"/>
        <w:rPr>
          <w:rFonts w:asciiTheme="minorHAnsi" w:hAnsiTheme="minorHAnsi"/>
          <w:i/>
          <w:sz w:val="22"/>
          <w:szCs w:val="22"/>
          <w:lang w:val="en-GB"/>
        </w:rPr>
      </w:pPr>
    </w:p>
    <w:p w:rsidR="009C7321" w:rsidRDefault="000D77BF" w:rsidP="00603222">
      <w:pPr>
        <w:autoSpaceDE w:val="0"/>
        <w:autoSpaceDN w:val="0"/>
        <w:adjustRightInd w:val="0"/>
        <w:spacing w:line="276" w:lineRule="auto"/>
        <w:jc w:val="both"/>
        <w:rPr>
          <w:rFonts w:asciiTheme="minorHAnsi" w:hAnsiTheme="minorHAnsi"/>
          <w:sz w:val="22"/>
          <w:szCs w:val="22"/>
          <w:lang w:val="en-GB"/>
        </w:rPr>
      </w:pPr>
      <w:r>
        <w:rPr>
          <w:rFonts w:asciiTheme="minorHAnsi" w:hAnsiTheme="minorHAnsi"/>
          <w:sz w:val="22"/>
          <w:szCs w:val="22"/>
          <w:lang w:val="en-GB"/>
        </w:rPr>
        <w:t>Performance schemes are introduced in almost all European countries. The schemes vary in their design. Mostly delay minutes are targeted within the configuration of the schemes.</w:t>
      </w:r>
    </w:p>
    <w:p w:rsidR="009C7321" w:rsidRPr="000A6B0A" w:rsidRDefault="009C7321" w:rsidP="00603222">
      <w:pPr>
        <w:autoSpaceDE w:val="0"/>
        <w:autoSpaceDN w:val="0"/>
        <w:adjustRightInd w:val="0"/>
        <w:spacing w:line="276" w:lineRule="auto"/>
        <w:jc w:val="both"/>
        <w:rPr>
          <w:rFonts w:asciiTheme="minorHAnsi" w:hAnsiTheme="minorHAnsi"/>
          <w:sz w:val="22"/>
          <w:szCs w:val="22"/>
          <w:lang w:val="en-GB"/>
        </w:rPr>
      </w:pPr>
    </w:p>
    <w:p w:rsidR="00192C9B" w:rsidRPr="000A6B0A" w:rsidRDefault="001E3837" w:rsidP="00E561FB">
      <w:pPr>
        <w:numPr>
          <w:ilvl w:val="0"/>
          <w:numId w:val="9"/>
        </w:numPr>
        <w:tabs>
          <w:tab w:val="clear" w:pos="720"/>
          <w:tab w:val="num" w:pos="360"/>
        </w:tabs>
        <w:spacing w:line="276" w:lineRule="auto"/>
        <w:ind w:hanging="720"/>
        <w:jc w:val="both"/>
        <w:rPr>
          <w:rFonts w:asciiTheme="minorHAnsi" w:hAnsiTheme="minorHAnsi"/>
          <w:b/>
          <w:sz w:val="22"/>
          <w:szCs w:val="22"/>
          <w:lang w:val="en-GB"/>
        </w:rPr>
      </w:pPr>
      <w:r w:rsidRPr="000A6B0A">
        <w:rPr>
          <w:rFonts w:asciiTheme="minorHAnsi" w:hAnsiTheme="minorHAnsi"/>
          <w:b/>
          <w:sz w:val="22"/>
          <w:szCs w:val="22"/>
          <w:lang w:val="en-GB"/>
        </w:rPr>
        <w:t>Reservation charge</w:t>
      </w:r>
      <w:r w:rsidR="00831856" w:rsidRPr="000A6B0A">
        <w:rPr>
          <w:rFonts w:asciiTheme="minorHAnsi" w:hAnsiTheme="minorHAnsi"/>
          <w:b/>
          <w:sz w:val="22"/>
          <w:szCs w:val="22"/>
          <w:lang w:val="en-GB"/>
        </w:rPr>
        <w:t xml:space="preserve"> :</w:t>
      </w:r>
    </w:p>
    <w:p w:rsidR="001E3837" w:rsidRPr="000A6B0A" w:rsidRDefault="001E3837" w:rsidP="00603222">
      <w:pPr>
        <w:spacing w:line="276" w:lineRule="auto"/>
        <w:ind w:left="720"/>
        <w:jc w:val="both"/>
        <w:rPr>
          <w:rFonts w:asciiTheme="minorHAnsi" w:hAnsiTheme="minorHAnsi"/>
          <w:strike/>
          <w:sz w:val="22"/>
          <w:szCs w:val="22"/>
          <w:lang w:val="en-GB"/>
        </w:rPr>
      </w:pPr>
    </w:p>
    <w:p w:rsidR="001E3837" w:rsidRPr="000A6B0A" w:rsidRDefault="00DC105B" w:rsidP="00603222">
      <w:pPr>
        <w:autoSpaceDE w:val="0"/>
        <w:autoSpaceDN w:val="0"/>
        <w:adjustRightInd w:val="0"/>
        <w:spacing w:line="276" w:lineRule="auto"/>
        <w:jc w:val="both"/>
        <w:rPr>
          <w:rFonts w:asciiTheme="minorHAnsi" w:hAnsiTheme="minorHAnsi"/>
          <w:i/>
          <w:sz w:val="22"/>
          <w:szCs w:val="22"/>
          <w:lang w:val="en-GB"/>
        </w:rPr>
      </w:pPr>
      <w:r w:rsidRPr="000A6B0A">
        <w:rPr>
          <w:rFonts w:asciiTheme="minorHAnsi" w:hAnsiTheme="minorHAnsi"/>
          <w:sz w:val="22"/>
          <w:szCs w:val="22"/>
          <w:lang w:val="en-GB"/>
        </w:rPr>
        <w:t>Directive 2012/34/EU states</w:t>
      </w:r>
      <w:r w:rsidR="00A451B5" w:rsidRPr="000A6B0A">
        <w:rPr>
          <w:rFonts w:asciiTheme="minorHAnsi" w:hAnsiTheme="minorHAnsi"/>
          <w:sz w:val="22"/>
          <w:szCs w:val="22"/>
          <w:lang w:val="en-GB"/>
        </w:rPr>
        <w:t>,</w:t>
      </w:r>
      <w:r w:rsidRPr="000A6B0A">
        <w:rPr>
          <w:rFonts w:asciiTheme="minorHAnsi" w:hAnsiTheme="minorHAnsi"/>
          <w:sz w:val="22"/>
          <w:szCs w:val="22"/>
          <w:lang w:val="en-GB"/>
        </w:rPr>
        <w:t xml:space="preserve"> under </w:t>
      </w:r>
      <w:r w:rsidR="00397281">
        <w:rPr>
          <w:rFonts w:asciiTheme="minorHAnsi" w:hAnsiTheme="minorHAnsi"/>
          <w:sz w:val="22"/>
          <w:szCs w:val="22"/>
          <w:lang w:val="en-GB"/>
        </w:rPr>
        <w:t>A</w:t>
      </w:r>
      <w:r w:rsidRPr="000A6B0A">
        <w:rPr>
          <w:rFonts w:asciiTheme="minorHAnsi" w:hAnsiTheme="minorHAnsi"/>
          <w:sz w:val="22"/>
          <w:szCs w:val="22"/>
          <w:lang w:val="en-GB"/>
        </w:rPr>
        <w:t>rticle 36 that</w:t>
      </w:r>
      <w:r w:rsidRPr="000A6B0A">
        <w:rPr>
          <w:sz w:val="22"/>
          <w:szCs w:val="22"/>
          <w:lang w:val="en-GB"/>
        </w:rPr>
        <w:t xml:space="preserve"> </w:t>
      </w:r>
      <w:r w:rsidR="004F0458" w:rsidRPr="000A6B0A">
        <w:rPr>
          <w:rFonts w:asciiTheme="minorHAnsi" w:hAnsiTheme="minorHAnsi"/>
          <w:sz w:val="22"/>
          <w:szCs w:val="22"/>
          <w:lang w:val="en-GB"/>
        </w:rPr>
        <w:t>“[i]</w:t>
      </w:r>
      <w:r w:rsidR="004F0458" w:rsidRPr="000A6B0A">
        <w:rPr>
          <w:rFonts w:asciiTheme="minorHAnsi" w:hAnsiTheme="minorHAnsi"/>
          <w:i/>
          <w:sz w:val="22"/>
          <w:szCs w:val="22"/>
          <w:lang w:val="en-GB"/>
        </w:rPr>
        <w:t>nfrastructure managers may levy an appropriate charge for capacity that is allocated but not used. That non-usage charge shall provide incentives for efficient use of capacity. The levy of such a charge on applicants that were allocated a train path shall be mandatory in the event of their regular failure to use allocated paths or part of them. For the imposition of this charge, the infrastructure managers shall publish in their network statement the criteria to determine such failure to use. The regulatory body referred to in Article 55 shall control such criteria in accordance with Article 56. Payments for this charge shall be made by either the applicant or the railway undertaking appointed in accordance with Article 41(1). The infrastructure manager shall always be able to inform any interested party of the infrastructure capacity which has already been allocated to user railway undertakings”</w:t>
      </w:r>
      <w:r w:rsidR="00397281">
        <w:rPr>
          <w:rFonts w:asciiTheme="minorHAnsi" w:hAnsiTheme="minorHAnsi"/>
          <w:i/>
          <w:sz w:val="22"/>
          <w:szCs w:val="22"/>
          <w:lang w:val="en-GB"/>
        </w:rPr>
        <w:t>.</w:t>
      </w:r>
    </w:p>
    <w:p w:rsidR="004F0458" w:rsidRPr="000A6B0A" w:rsidRDefault="004F0458" w:rsidP="00603222">
      <w:pPr>
        <w:autoSpaceDE w:val="0"/>
        <w:autoSpaceDN w:val="0"/>
        <w:adjustRightInd w:val="0"/>
        <w:spacing w:line="276" w:lineRule="auto"/>
        <w:jc w:val="both"/>
        <w:rPr>
          <w:rFonts w:asciiTheme="minorHAnsi" w:hAnsiTheme="minorHAnsi"/>
          <w:sz w:val="22"/>
          <w:szCs w:val="22"/>
          <w:lang w:val="en-GB"/>
        </w:rPr>
      </w:pPr>
    </w:p>
    <w:p w:rsidR="004101F7" w:rsidRPr="000A6B0A" w:rsidRDefault="004101F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some countries this charge is introduced as a cancellation charge that applies</w:t>
      </w:r>
      <w:r w:rsidR="00397281">
        <w:rPr>
          <w:rFonts w:asciiTheme="minorHAnsi" w:hAnsiTheme="minorHAnsi"/>
          <w:sz w:val="22"/>
          <w:szCs w:val="22"/>
          <w:lang w:val="en-GB"/>
        </w:rPr>
        <w:t xml:space="preserve"> </w:t>
      </w:r>
      <w:r w:rsidRPr="000A6B0A">
        <w:rPr>
          <w:rFonts w:asciiTheme="minorHAnsi" w:hAnsiTheme="minorHAnsi"/>
          <w:sz w:val="22"/>
          <w:szCs w:val="22"/>
          <w:lang w:val="en-GB"/>
        </w:rPr>
        <w:t>when one or several train running days on a train path or part of a train path are withdrawn by the ordering railway undertaking.</w:t>
      </w:r>
    </w:p>
    <w:p w:rsidR="001E3837" w:rsidRPr="000A6B0A" w:rsidRDefault="001E3837" w:rsidP="00603222">
      <w:pPr>
        <w:autoSpaceDE w:val="0"/>
        <w:autoSpaceDN w:val="0"/>
        <w:adjustRightInd w:val="0"/>
        <w:spacing w:line="276" w:lineRule="auto"/>
        <w:rPr>
          <w:rFonts w:asciiTheme="minorHAnsi" w:hAnsiTheme="minorHAnsi"/>
          <w:sz w:val="22"/>
          <w:szCs w:val="22"/>
          <w:lang w:val="en-GB"/>
        </w:rPr>
      </w:pPr>
    </w:p>
    <w:p w:rsidR="001E3837" w:rsidRPr="000A6B0A" w:rsidRDefault="001E3837"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A summary of how these various charges are applied in IRG-Rail members is given in the table below.</w:t>
      </w:r>
    </w:p>
    <w:p w:rsidR="001B3E8F" w:rsidRPr="000A6B0A" w:rsidRDefault="00D371CA" w:rsidP="001B3E8F">
      <w:pPr>
        <w:rPr>
          <w:rFonts w:ascii="Calibri" w:hAnsi="Calibri" w:cs="Calibri"/>
          <w:lang w:val="en-GB"/>
        </w:rPr>
      </w:pPr>
      <w:r>
        <w:rPr>
          <w:rFonts w:ascii="Calibri" w:hAnsi="Calibri" w:cs="Calibri"/>
          <w:lang w:val="en-GB"/>
        </w:rPr>
        <w:br w:type="page"/>
      </w:r>
    </w:p>
    <w:tbl>
      <w:tblPr>
        <w:tblpPr w:leftFromText="141" w:rightFromText="141" w:vertAnchor="text" w:horzAnchor="margin" w:tblpY="1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6"/>
        <w:gridCol w:w="2090"/>
        <w:gridCol w:w="1560"/>
        <w:gridCol w:w="1558"/>
        <w:gridCol w:w="1982"/>
      </w:tblGrid>
      <w:tr w:rsidR="00D371CA" w:rsidRPr="000A6B0A" w:rsidTr="0086605D">
        <w:trPr>
          <w:trHeight w:val="132"/>
          <w:tblHeader/>
        </w:trPr>
        <w:tc>
          <w:tcPr>
            <w:tcW w:w="1021" w:type="pct"/>
            <w:shd w:val="clear" w:color="808080" w:fill="808080"/>
            <w:vAlign w:val="center"/>
          </w:tcPr>
          <w:p w:rsidR="001B3E8F" w:rsidRPr="000A6B0A" w:rsidRDefault="001B3E8F" w:rsidP="003946FB">
            <w:pPr>
              <w:pStyle w:val="Titre31"/>
              <w:jc w:val="center"/>
              <w:rPr>
                <w:rFonts w:ascii="Calibri" w:hAnsi="Calibri" w:cs="Calibri"/>
                <w:b/>
                <w:color w:val="FFFFFF"/>
                <w:lang w:val="en-GB"/>
              </w:rPr>
            </w:pPr>
            <w:r w:rsidRPr="000A6B0A">
              <w:rPr>
                <w:rFonts w:ascii="Calibri" w:hAnsi="Calibri" w:cs="Calibri"/>
                <w:b/>
                <w:color w:val="FFFFFF"/>
                <w:sz w:val="20"/>
                <w:lang w:val="en-GB"/>
              </w:rPr>
              <w:lastRenderedPageBreak/>
              <w:t>Country</w:t>
            </w:r>
          </w:p>
        </w:tc>
        <w:tc>
          <w:tcPr>
            <w:tcW w:w="1156" w:type="pct"/>
            <w:shd w:val="clear" w:color="808080" w:fill="808080"/>
            <w:vAlign w:val="center"/>
          </w:tcPr>
          <w:p w:rsidR="001B3E8F" w:rsidRPr="000A6B0A" w:rsidRDefault="001B3E8F" w:rsidP="0086605D">
            <w:pPr>
              <w:pStyle w:val="Tabellentextrechts"/>
              <w:spacing w:before="0" w:after="0"/>
              <w:ind w:right="0"/>
              <w:jc w:val="center"/>
              <w:rPr>
                <w:rFonts w:ascii="Calibri" w:hAnsi="Calibri" w:cs="Calibri"/>
                <w:b/>
                <w:color w:val="FFFFFF"/>
                <w:sz w:val="18"/>
                <w:szCs w:val="18"/>
                <w:lang w:val="en-GB"/>
              </w:rPr>
            </w:pPr>
            <w:r w:rsidRPr="000A6B0A">
              <w:rPr>
                <w:rFonts w:ascii="Calibri" w:hAnsi="Calibri" w:cs="Calibri"/>
                <w:b/>
                <w:color w:val="FFFFFF"/>
                <w:sz w:val="18"/>
                <w:szCs w:val="18"/>
                <w:lang w:val="en-GB"/>
              </w:rPr>
              <w:t>Congestion / Scarcity</w:t>
            </w:r>
          </w:p>
        </w:tc>
        <w:tc>
          <w:tcPr>
            <w:tcW w:w="863" w:type="pct"/>
            <w:shd w:val="clear" w:color="808080" w:fill="808080"/>
            <w:vAlign w:val="center"/>
          </w:tcPr>
          <w:p w:rsidR="001B3E8F" w:rsidRPr="000A6B0A" w:rsidRDefault="001B3E8F" w:rsidP="0086605D">
            <w:pPr>
              <w:pStyle w:val="Tabellentextrechts"/>
              <w:spacing w:before="0" w:after="0"/>
              <w:jc w:val="center"/>
              <w:rPr>
                <w:rFonts w:ascii="Calibri" w:hAnsi="Calibri" w:cs="Calibri"/>
                <w:b/>
                <w:color w:val="FFFFFF"/>
                <w:sz w:val="18"/>
                <w:szCs w:val="18"/>
                <w:lang w:val="en-GB"/>
              </w:rPr>
            </w:pPr>
            <w:r w:rsidRPr="000A6B0A">
              <w:rPr>
                <w:rFonts w:ascii="Calibri" w:hAnsi="Calibri" w:cs="Calibri"/>
                <w:b/>
                <w:color w:val="FFFFFF"/>
                <w:sz w:val="18"/>
                <w:szCs w:val="18"/>
                <w:lang w:val="en-GB"/>
              </w:rPr>
              <w:t>Performance</w:t>
            </w:r>
          </w:p>
        </w:tc>
        <w:tc>
          <w:tcPr>
            <w:tcW w:w="862" w:type="pct"/>
            <w:shd w:val="clear" w:color="808080" w:fill="808080"/>
            <w:vAlign w:val="center"/>
          </w:tcPr>
          <w:p w:rsidR="001B3E8F" w:rsidRPr="000A6B0A" w:rsidRDefault="001B3E8F" w:rsidP="0086605D">
            <w:pPr>
              <w:pStyle w:val="Tabellentextrechts"/>
              <w:spacing w:before="0" w:after="0"/>
              <w:jc w:val="center"/>
              <w:rPr>
                <w:rFonts w:ascii="Calibri" w:hAnsi="Calibri" w:cs="Calibri"/>
                <w:b/>
                <w:color w:val="FFFFFF"/>
                <w:sz w:val="18"/>
                <w:szCs w:val="18"/>
                <w:lang w:val="en-GB"/>
              </w:rPr>
            </w:pPr>
            <w:r w:rsidRPr="000A6B0A">
              <w:rPr>
                <w:rFonts w:ascii="Calibri" w:hAnsi="Calibri" w:cs="Calibri"/>
                <w:b/>
                <w:color w:val="FFFFFF"/>
                <w:sz w:val="18"/>
                <w:szCs w:val="18"/>
                <w:lang w:val="en-GB"/>
              </w:rPr>
              <w:t>Environmental</w:t>
            </w:r>
          </w:p>
        </w:tc>
        <w:tc>
          <w:tcPr>
            <w:tcW w:w="1097" w:type="pct"/>
            <w:shd w:val="clear" w:color="808080" w:fill="808080"/>
            <w:vAlign w:val="center"/>
          </w:tcPr>
          <w:p w:rsidR="001B3E8F" w:rsidRPr="000A6B0A" w:rsidRDefault="001B3E8F" w:rsidP="0086605D">
            <w:pPr>
              <w:pStyle w:val="Tabellentextrechts"/>
              <w:spacing w:before="0" w:after="0"/>
              <w:jc w:val="center"/>
              <w:rPr>
                <w:rFonts w:ascii="Calibri" w:hAnsi="Calibri" w:cs="Calibri"/>
                <w:b/>
                <w:color w:val="FFFFFF"/>
                <w:sz w:val="18"/>
                <w:szCs w:val="18"/>
                <w:lang w:val="en-GB"/>
              </w:rPr>
            </w:pPr>
            <w:r w:rsidRPr="000A6B0A">
              <w:rPr>
                <w:rFonts w:ascii="Calibri" w:hAnsi="Calibri" w:cs="Calibri"/>
                <w:b/>
                <w:color w:val="FFFFFF"/>
                <w:sz w:val="18"/>
                <w:szCs w:val="18"/>
                <w:lang w:val="en-GB"/>
              </w:rPr>
              <w:t>Reservation or Cancellation charge</w:t>
            </w:r>
          </w:p>
        </w:tc>
      </w:tr>
      <w:tr w:rsidR="00D371CA" w:rsidRPr="000A6B0A" w:rsidTr="00D113B2">
        <w:trPr>
          <w:trHeight w:val="56"/>
        </w:trPr>
        <w:tc>
          <w:tcPr>
            <w:tcW w:w="1021" w:type="pct"/>
            <w:vAlign w:val="center"/>
          </w:tcPr>
          <w:p w:rsidR="001B3E8F" w:rsidRPr="000A6B0A" w:rsidRDefault="001B3E8F"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156" w:type="pct"/>
            <w:vAlign w:val="center"/>
          </w:tcPr>
          <w:p w:rsidR="001B3E8F" w:rsidRPr="000A6B0A" w:rsidRDefault="001B3E8F"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vAlign w:val="center"/>
          </w:tcPr>
          <w:p w:rsidR="001B3E8F" w:rsidRPr="000A6B0A" w:rsidRDefault="001B3E8F"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2" w:type="pct"/>
            <w:vAlign w:val="center"/>
          </w:tcPr>
          <w:p w:rsidR="001B3E8F" w:rsidRPr="000A6B0A" w:rsidRDefault="001B3E8F" w:rsidP="0086605D">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97" w:type="pct"/>
            <w:vAlign w:val="center"/>
          </w:tcPr>
          <w:p w:rsidR="001B3E8F" w:rsidRPr="00334BD8" w:rsidRDefault="00334BD8" w:rsidP="0086605D">
            <w:pPr>
              <w:pStyle w:val="Titre31"/>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36"/>
            </w:r>
          </w:p>
        </w:tc>
      </w:tr>
      <w:tr w:rsidR="00D632B5" w:rsidRPr="000A6B0A" w:rsidTr="0086605D">
        <w:trPr>
          <w:trHeight w:val="56"/>
        </w:trPr>
        <w:tc>
          <w:tcPr>
            <w:tcW w:w="1021" w:type="pct"/>
            <w:shd w:val="clear" w:color="auto" w:fill="D9D9D9" w:themeFill="background1" w:themeFillShade="D9"/>
            <w:vAlign w:val="center"/>
          </w:tcPr>
          <w:p w:rsidR="00D632B5" w:rsidRPr="000A6B0A" w:rsidRDefault="00D632B5"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1156" w:type="pct"/>
            <w:shd w:val="clear" w:color="auto" w:fill="D9D9D9" w:themeFill="background1" w:themeFillShade="D9"/>
            <w:vAlign w:val="center"/>
          </w:tcPr>
          <w:p w:rsidR="00D632B5" w:rsidRPr="000A6B0A" w:rsidRDefault="00D632B5" w:rsidP="003946F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3" w:type="pct"/>
            <w:shd w:val="clear" w:color="auto" w:fill="D9D9D9" w:themeFill="background1" w:themeFillShade="D9"/>
            <w:vAlign w:val="center"/>
          </w:tcPr>
          <w:p w:rsidR="00D632B5" w:rsidRPr="000A6B0A" w:rsidRDefault="00D632B5"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37"/>
            </w:r>
          </w:p>
        </w:tc>
        <w:tc>
          <w:tcPr>
            <w:tcW w:w="862" w:type="pct"/>
            <w:shd w:val="clear" w:color="auto" w:fill="D9D9D9" w:themeFill="background1" w:themeFillShade="D9"/>
            <w:vAlign w:val="center"/>
          </w:tcPr>
          <w:p w:rsidR="00D632B5" w:rsidRPr="000A6B0A" w:rsidRDefault="00D632B5"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D632B5" w:rsidRPr="000A6B0A" w:rsidRDefault="00D632B5" w:rsidP="0086605D">
            <w:pPr>
              <w:pStyle w:val="Titre31"/>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EB20D1" w:rsidRPr="000A6B0A" w:rsidTr="00D113B2">
        <w:trPr>
          <w:trHeight w:val="56"/>
        </w:trPr>
        <w:tc>
          <w:tcPr>
            <w:tcW w:w="1021" w:type="pct"/>
            <w:vAlign w:val="center"/>
          </w:tcPr>
          <w:p w:rsidR="00EB20D1" w:rsidRPr="000A6B0A" w:rsidRDefault="00EB20D1"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156" w:type="pct"/>
            <w:vAlign w:val="center"/>
          </w:tcPr>
          <w:p w:rsidR="00EB20D1" w:rsidRPr="000A6B0A" w:rsidRDefault="00EB20D1" w:rsidP="003946F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3" w:type="pct"/>
            <w:vAlign w:val="center"/>
          </w:tcPr>
          <w:p w:rsidR="00EB20D1" w:rsidRPr="000A6B0A" w:rsidRDefault="00EB20D1" w:rsidP="0086605D">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2" w:type="pct"/>
            <w:vAlign w:val="center"/>
          </w:tcPr>
          <w:p w:rsidR="00EB20D1" w:rsidRPr="000A6B0A" w:rsidRDefault="00EB20D1"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vAlign w:val="center"/>
          </w:tcPr>
          <w:p w:rsidR="00EB20D1" w:rsidRPr="000A6B0A" w:rsidRDefault="00EB20D1" w:rsidP="0086605D">
            <w:pPr>
              <w:pStyle w:val="Titre31"/>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371CA" w:rsidRPr="000A6B0A" w:rsidTr="0086605D">
        <w:trPr>
          <w:trHeight w:val="56"/>
        </w:trPr>
        <w:tc>
          <w:tcPr>
            <w:tcW w:w="1021" w:type="pct"/>
            <w:shd w:val="clear" w:color="auto" w:fill="D9D9D9" w:themeFill="background1" w:themeFillShade="D9"/>
            <w:vAlign w:val="center"/>
          </w:tcPr>
          <w:p w:rsidR="00E7312A" w:rsidRPr="000A6B0A" w:rsidRDefault="00E7312A" w:rsidP="0086605D">
            <w:pPr>
              <w:pStyle w:val="Tabellenkopf"/>
              <w:spacing w:before="0" w:after="0"/>
              <w:jc w:val="center"/>
              <w:rPr>
                <w:rFonts w:ascii="Calibri" w:hAnsi="Calibri" w:cs="Calibri"/>
                <w:b/>
                <w:color w:val="000000"/>
                <w:sz w:val="20"/>
                <w:lang w:val="en-GB"/>
              </w:rPr>
            </w:pPr>
            <w:r w:rsidRPr="000A6B0A">
              <w:rPr>
                <w:rFonts w:ascii="Calibri" w:hAnsi="Calibri" w:cs="Calibri"/>
                <w:b/>
                <w:color w:val="000000"/>
                <w:sz w:val="20"/>
                <w:lang w:val="en-GB"/>
              </w:rPr>
              <w:t xml:space="preserve">Croatia </w:t>
            </w:r>
          </w:p>
        </w:tc>
        <w:tc>
          <w:tcPr>
            <w:tcW w:w="1156" w:type="pct"/>
            <w:shd w:val="clear" w:color="auto" w:fill="D9D9D9" w:themeFill="background1" w:themeFillShade="D9"/>
            <w:vAlign w:val="center"/>
          </w:tcPr>
          <w:p w:rsidR="00E7312A" w:rsidRPr="000A6B0A" w:rsidRDefault="00E7312A" w:rsidP="003946F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63" w:type="pct"/>
            <w:shd w:val="clear" w:color="auto" w:fill="D9D9D9" w:themeFill="background1" w:themeFillShade="D9"/>
            <w:vAlign w:val="center"/>
          </w:tcPr>
          <w:p w:rsidR="00E7312A" w:rsidRPr="000A6B0A" w:rsidRDefault="00E7312A"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E7312A" w:rsidRPr="000A6B0A" w:rsidRDefault="00E7312A"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E7312A" w:rsidRPr="00334BD8" w:rsidRDefault="00334BD8"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8949E3">
              <w:rPr>
                <w:rStyle w:val="Appelnotedebasdep"/>
                <w:rFonts w:asciiTheme="minorHAnsi" w:hAnsiTheme="minorHAnsi"/>
                <w:b/>
                <w:sz w:val="20"/>
                <w:szCs w:val="20"/>
                <w:lang w:val="en-GB"/>
              </w:rPr>
              <w:footnoteReference w:id="38"/>
            </w:r>
          </w:p>
        </w:tc>
      </w:tr>
      <w:tr w:rsidR="00D371CA" w:rsidRPr="000A6B0A" w:rsidTr="00D113B2">
        <w:trPr>
          <w:trHeight w:val="56"/>
        </w:trPr>
        <w:tc>
          <w:tcPr>
            <w:tcW w:w="1021" w:type="pct"/>
            <w:vAlign w:val="center"/>
          </w:tcPr>
          <w:p w:rsidR="00E018A6" w:rsidRPr="000A6B0A" w:rsidRDefault="00E018A6"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156" w:type="pct"/>
            <w:vAlign w:val="center"/>
          </w:tcPr>
          <w:p w:rsidR="00E018A6" w:rsidRPr="000A6B0A" w:rsidRDefault="00E018A6" w:rsidP="003946FB">
            <w:pPr>
              <w:pStyle w:val="Titre31"/>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3" w:type="pct"/>
            <w:vAlign w:val="center"/>
          </w:tcPr>
          <w:p w:rsidR="00E018A6" w:rsidRPr="000A6B0A" w:rsidRDefault="00E018A6"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2" w:type="pct"/>
            <w:vAlign w:val="center"/>
          </w:tcPr>
          <w:p w:rsidR="00E018A6" w:rsidRPr="000A6B0A" w:rsidRDefault="00414F1E" w:rsidP="0086605D">
            <w:pPr>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097" w:type="pct"/>
            <w:vAlign w:val="center"/>
          </w:tcPr>
          <w:p w:rsidR="00E018A6" w:rsidRPr="000A6B0A" w:rsidRDefault="00E018A6"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113B2" w:rsidRPr="000A6B0A" w:rsidTr="0086605D">
        <w:trPr>
          <w:trHeight w:val="56"/>
        </w:trPr>
        <w:tc>
          <w:tcPr>
            <w:tcW w:w="1021" w:type="pct"/>
            <w:shd w:val="clear" w:color="auto" w:fill="D9D9D9" w:themeFill="background1" w:themeFillShade="D9"/>
            <w:vAlign w:val="center"/>
          </w:tcPr>
          <w:p w:rsidR="00D113B2" w:rsidRPr="000A6B0A" w:rsidRDefault="00D113B2"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156" w:type="pct"/>
            <w:shd w:val="clear" w:color="auto" w:fill="D9D9D9" w:themeFill="background1" w:themeFillShade="D9"/>
            <w:vAlign w:val="center"/>
          </w:tcPr>
          <w:p w:rsidR="00D113B2" w:rsidRPr="000A6B0A" w:rsidRDefault="00D113B2" w:rsidP="003946FB">
            <w:pPr>
              <w:pStyle w:val="Titre31"/>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63" w:type="pct"/>
            <w:shd w:val="clear" w:color="auto" w:fill="D9D9D9" w:themeFill="background1" w:themeFillShade="D9"/>
            <w:vAlign w:val="center"/>
          </w:tcPr>
          <w:p w:rsidR="00D113B2" w:rsidRPr="000A6B0A" w:rsidRDefault="00D113B2" w:rsidP="0086605D">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2" w:type="pct"/>
            <w:shd w:val="clear" w:color="auto" w:fill="D9D9D9" w:themeFill="background1" w:themeFillShade="D9"/>
            <w:vAlign w:val="center"/>
          </w:tcPr>
          <w:p w:rsidR="00D113B2" w:rsidRDefault="00D113B2" w:rsidP="0086605D">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D113B2" w:rsidRPr="000A6B0A" w:rsidRDefault="00D113B2"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371CA" w:rsidRPr="000A6B0A" w:rsidTr="00D113B2">
        <w:trPr>
          <w:trHeight w:val="56"/>
        </w:trPr>
        <w:tc>
          <w:tcPr>
            <w:tcW w:w="1021" w:type="pct"/>
            <w:vAlign w:val="center"/>
          </w:tcPr>
          <w:p w:rsidR="00E018A6" w:rsidRPr="000A6B0A" w:rsidRDefault="00E018A6"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Finland</w:t>
            </w:r>
          </w:p>
        </w:tc>
        <w:tc>
          <w:tcPr>
            <w:tcW w:w="1156" w:type="pct"/>
            <w:vAlign w:val="center"/>
          </w:tcPr>
          <w:p w:rsidR="00E018A6" w:rsidRPr="000A6B0A" w:rsidRDefault="00E018A6" w:rsidP="003946F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3" w:type="pct"/>
            <w:vAlign w:val="center"/>
          </w:tcPr>
          <w:p w:rsidR="00E018A6" w:rsidRPr="000A6B0A" w:rsidRDefault="00E018A6" w:rsidP="0086605D">
            <w:pPr>
              <w:pStyle w:val="Titre31"/>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62" w:type="pct"/>
            <w:vAlign w:val="center"/>
          </w:tcPr>
          <w:p w:rsidR="00E018A6" w:rsidRPr="000A6B0A" w:rsidRDefault="00FD3FA0" w:rsidP="0086605D">
            <w:pPr>
              <w:pStyle w:val="Titre31"/>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vAlign w:val="center"/>
          </w:tcPr>
          <w:p w:rsidR="00E018A6" w:rsidRPr="000A6B0A" w:rsidRDefault="00E018A6"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D371CA" w:rsidRPr="000A6B0A" w:rsidTr="0086605D">
        <w:trPr>
          <w:trHeight w:val="56"/>
        </w:trPr>
        <w:tc>
          <w:tcPr>
            <w:tcW w:w="1021" w:type="pct"/>
            <w:shd w:val="clear" w:color="auto" w:fill="D9D9D9" w:themeFill="background1" w:themeFillShade="D9"/>
            <w:vAlign w:val="center"/>
          </w:tcPr>
          <w:p w:rsidR="00E018A6" w:rsidRPr="000A6B0A" w:rsidRDefault="00E018A6"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France</w:t>
            </w:r>
          </w:p>
        </w:tc>
        <w:tc>
          <w:tcPr>
            <w:tcW w:w="1156" w:type="pct"/>
            <w:shd w:val="clear" w:color="auto" w:fill="D9D9D9" w:themeFill="background1" w:themeFillShade="D9"/>
            <w:vAlign w:val="center"/>
          </w:tcPr>
          <w:p w:rsidR="00E018A6" w:rsidRPr="000A6B0A" w:rsidRDefault="00E018A6"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shd w:val="clear" w:color="auto" w:fill="D9D9D9" w:themeFill="background1" w:themeFillShade="D9"/>
            <w:vAlign w:val="center"/>
          </w:tcPr>
          <w:p w:rsidR="00E018A6" w:rsidRPr="000A6B0A" w:rsidRDefault="00580C20" w:rsidP="0086605D">
            <w:pPr>
              <w:pStyle w:val="Titre31"/>
              <w:jc w:val="center"/>
              <w:rPr>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E018A6" w:rsidRPr="000A6B0A" w:rsidRDefault="00E018A6" w:rsidP="0086605D">
            <w:pPr>
              <w:pStyle w:val="Titre31"/>
              <w:jc w:val="center"/>
              <w:rPr>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580C20" w:rsidRPr="00296817" w:rsidRDefault="00E018A6"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39"/>
            </w:r>
          </w:p>
        </w:tc>
      </w:tr>
      <w:tr w:rsidR="00D371CA" w:rsidRPr="000A6B0A" w:rsidTr="00D113B2">
        <w:trPr>
          <w:trHeight w:val="56"/>
        </w:trPr>
        <w:tc>
          <w:tcPr>
            <w:tcW w:w="1021" w:type="pct"/>
            <w:tcBorders>
              <w:bottom w:val="single" w:sz="4" w:space="0" w:color="auto"/>
            </w:tcBorders>
            <w:vAlign w:val="center"/>
          </w:tcPr>
          <w:p w:rsidR="00E018A6" w:rsidRPr="000A6B0A" w:rsidRDefault="00E018A6"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Germany</w:t>
            </w:r>
          </w:p>
        </w:tc>
        <w:tc>
          <w:tcPr>
            <w:tcW w:w="1156" w:type="pct"/>
            <w:tcBorders>
              <w:bottom w:val="single" w:sz="4" w:space="0" w:color="auto"/>
            </w:tcBorders>
            <w:vAlign w:val="center"/>
          </w:tcPr>
          <w:p w:rsidR="00E018A6" w:rsidRPr="000A6B0A" w:rsidRDefault="00E018A6" w:rsidP="003946FB">
            <w:pPr>
              <w:pStyle w:val="Titre31"/>
              <w:jc w:val="center"/>
              <w:rPr>
                <w:rFonts w:ascii="Calibri" w:hAnsi="Calibri" w:cs="Calibri"/>
                <w:i/>
                <w:sz w:val="18"/>
                <w:szCs w:val="20"/>
                <w:lang w:val="en-GB"/>
              </w:rPr>
            </w:pPr>
            <w:r w:rsidRPr="000A6B0A">
              <w:rPr>
                <w:rFonts w:ascii="Wingdings 2" w:hAnsi="Wingdings 2"/>
                <w:b/>
                <w:color w:val="800000"/>
                <w:sz w:val="28"/>
                <w:szCs w:val="28"/>
                <w:lang w:val="en-GB"/>
              </w:rPr>
              <w:t></w:t>
            </w:r>
          </w:p>
        </w:tc>
        <w:tc>
          <w:tcPr>
            <w:tcW w:w="863" w:type="pct"/>
            <w:tcBorders>
              <w:bottom w:val="single" w:sz="4" w:space="0" w:color="auto"/>
            </w:tcBorders>
            <w:vAlign w:val="center"/>
          </w:tcPr>
          <w:p w:rsidR="00E018A6" w:rsidRPr="000A6B0A" w:rsidRDefault="00E018A6" w:rsidP="0086605D">
            <w:pPr>
              <w:jc w:val="center"/>
              <w:rPr>
                <w:color w:val="008000"/>
                <w:lang w:val="en-GB"/>
              </w:rPr>
            </w:pPr>
            <w:r w:rsidRPr="000A6B0A">
              <w:rPr>
                <w:rFonts w:ascii="Wingdings 2" w:hAnsi="Wingdings 2"/>
                <w:b/>
                <w:color w:val="008000"/>
                <w:sz w:val="28"/>
                <w:szCs w:val="28"/>
                <w:lang w:val="en-GB"/>
              </w:rPr>
              <w:t></w:t>
            </w:r>
          </w:p>
        </w:tc>
        <w:tc>
          <w:tcPr>
            <w:tcW w:w="862" w:type="pct"/>
            <w:tcBorders>
              <w:bottom w:val="single" w:sz="4" w:space="0" w:color="auto"/>
            </w:tcBorders>
            <w:vAlign w:val="center"/>
          </w:tcPr>
          <w:p w:rsidR="00E018A6" w:rsidRPr="00296817" w:rsidRDefault="00E018A6" w:rsidP="0086605D">
            <w:pPr>
              <w:pStyle w:val="Titre31"/>
              <w:jc w:val="center"/>
              <w:rPr>
                <w:rFonts w:ascii="Arial Narrow" w:hAnsi="Arial Narrow"/>
                <w:color w:val="000000"/>
                <w:sz w:val="24"/>
                <w:szCs w:val="2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0"/>
            </w:r>
          </w:p>
        </w:tc>
        <w:tc>
          <w:tcPr>
            <w:tcW w:w="1097" w:type="pct"/>
            <w:tcBorders>
              <w:bottom w:val="single" w:sz="4" w:space="0" w:color="auto"/>
            </w:tcBorders>
            <w:vAlign w:val="center"/>
          </w:tcPr>
          <w:p w:rsidR="003A3596" w:rsidRPr="00296817" w:rsidRDefault="00E018A6" w:rsidP="0086605D">
            <w:pPr>
              <w:pStyle w:val="Titre31"/>
              <w:jc w:val="center"/>
              <w:rPr>
                <w:rFonts w:ascii="Calibri" w:hAnsi="Calibri"/>
                <w:b/>
                <w:color w:val="008000"/>
                <w:sz w:val="28"/>
                <w:szCs w:val="2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1"/>
            </w:r>
          </w:p>
        </w:tc>
      </w:tr>
      <w:tr w:rsidR="00D371CA" w:rsidRPr="000A6B0A" w:rsidTr="0086605D">
        <w:trPr>
          <w:trHeight w:val="56"/>
        </w:trPr>
        <w:tc>
          <w:tcPr>
            <w:tcW w:w="1021" w:type="pct"/>
            <w:shd w:val="clear" w:color="auto" w:fill="D9D9D9" w:themeFill="background1" w:themeFillShade="D9"/>
            <w:vAlign w:val="center"/>
          </w:tcPr>
          <w:p w:rsidR="00E018A6" w:rsidRPr="000A6B0A" w:rsidRDefault="00296817" w:rsidP="0086605D">
            <w:pPr>
              <w:pStyle w:val="Tabellenkopf"/>
              <w:spacing w:before="0" w:after="0"/>
              <w:jc w:val="center"/>
              <w:rPr>
                <w:rFonts w:ascii="Calibri" w:hAnsi="Calibri" w:cs="Calibri"/>
                <w:b/>
                <w:color w:val="000000"/>
                <w:sz w:val="20"/>
                <w:lang w:val="en-GB"/>
              </w:rPr>
            </w:pPr>
            <w:r>
              <w:rPr>
                <w:rFonts w:ascii="Calibri" w:hAnsi="Calibri" w:cs="Calibri"/>
                <w:b/>
                <w:color w:val="000000"/>
                <w:sz w:val="20"/>
                <w:lang w:val="en-GB"/>
              </w:rPr>
              <w:t xml:space="preserve">Greece </w:t>
            </w:r>
          </w:p>
        </w:tc>
        <w:tc>
          <w:tcPr>
            <w:tcW w:w="1156" w:type="pct"/>
            <w:shd w:val="clear" w:color="auto" w:fill="D9D9D9" w:themeFill="background1" w:themeFillShade="D9"/>
            <w:vAlign w:val="center"/>
          </w:tcPr>
          <w:p w:rsidR="00E018A6" w:rsidRPr="000A6B0A" w:rsidRDefault="00E018A6" w:rsidP="003946F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63" w:type="pct"/>
            <w:shd w:val="clear" w:color="auto" w:fill="D9D9D9" w:themeFill="background1" w:themeFillShade="D9"/>
            <w:vAlign w:val="center"/>
          </w:tcPr>
          <w:p w:rsidR="00E018A6" w:rsidRPr="000A6B0A" w:rsidRDefault="00E018A6"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62" w:type="pct"/>
            <w:shd w:val="clear" w:color="auto" w:fill="D9D9D9" w:themeFill="background1" w:themeFillShade="D9"/>
            <w:vAlign w:val="center"/>
          </w:tcPr>
          <w:p w:rsidR="00E018A6" w:rsidRPr="000A6B0A" w:rsidRDefault="00E018A6"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E018A6" w:rsidRPr="000A6B0A" w:rsidRDefault="00E018A6" w:rsidP="0086605D">
            <w:pPr>
              <w:jc w:val="center"/>
              <w:rPr>
                <w:rFonts w:ascii="Wingdings 2" w:hAnsi="Wingdings 2"/>
                <w:b/>
                <w:color w:val="0000FF"/>
                <w:sz w:val="28"/>
                <w:szCs w:val="28"/>
                <w:lang w:val="en-GB"/>
              </w:rPr>
            </w:pPr>
            <w:r w:rsidRPr="000A6B0A">
              <w:rPr>
                <w:rFonts w:ascii="Wingdings 2" w:hAnsi="Wingdings 2"/>
                <w:b/>
                <w:color w:val="800000"/>
                <w:sz w:val="28"/>
                <w:szCs w:val="28"/>
                <w:lang w:val="en-GB"/>
              </w:rPr>
              <w:t></w:t>
            </w:r>
          </w:p>
        </w:tc>
      </w:tr>
      <w:tr w:rsidR="00D371CA" w:rsidRPr="000A6B0A" w:rsidTr="00D113B2">
        <w:trPr>
          <w:trHeight w:val="56"/>
        </w:trPr>
        <w:tc>
          <w:tcPr>
            <w:tcW w:w="1021" w:type="pct"/>
            <w:vAlign w:val="center"/>
          </w:tcPr>
          <w:p w:rsidR="00E018A6" w:rsidRPr="000A6B0A" w:rsidRDefault="00296817" w:rsidP="0086605D">
            <w:pPr>
              <w:pStyle w:val="Tabellenkopf"/>
              <w:spacing w:before="0" w:after="0"/>
              <w:jc w:val="center"/>
              <w:rPr>
                <w:rFonts w:ascii="Calibri" w:hAnsi="Calibri" w:cs="Calibri"/>
                <w:b/>
                <w:color w:val="000000"/>
                <w:sz w:val="20"/>
                <w:lang w:val="en-GB"/>
              </w:rPr>
            </w:pPr>
            <w:r>
              <w:rPr>
                <w:rFonts w:ascii="Calibri" w:hAnsi="Calibri" w:cs="Calibri"/>
                <w:b/>
                <w:color w:val="000000"/>
                <w:sz w:val="20"/>
                <w:lang w:val="en-GB"/>
              </w:rPr>
              <w:t>Hungary</w:t>
            </w:r>
          </w:p>
        </w:tc>
        <w:tc>
          <w:tcPr>
            <w:tcW w:w="1156" w:type="pct"/>
            <w:vAlign w:val="center"/>
          </w:tcPr>
          <w:p w:rsidR="00E018A6" w:rsidRPr="000A6B0A" w:rsidRDefault="00E018A6" w:rsidP="003946FB">
            <w:pPr>
              <w:jc w:val="center"/>
              <w:rPr>
                <w:rFonts w:ascii="Calibri" w:hAnsi="Calibri" w:cs="Calibri"/>
                <w:i/>
                <w:color w:val="800000"/>
                <w:sz w:val="22"/>
                <w:szCs w:val="22"/>
                <w:lang w:val="en-GB"/>
              </w:rPr>
            </w:pPr>
            <w:r w:rsidRPr="000A6B0A">
              <w:rPr>
                <w:rFonts w:ascii="Wingdings 2" w:hAnsi="Wingdings 2"/>
                <w:b/>
                <w:color w:val="800000"/>
                <w:sz w:val="28"/>
                <w:szCs w:val="28"/>
                <w:lang w:val="en-GB"/>
              </w:rPr>
              <w:t></w:t>
            </w:r>
          </w:p>
        </w:tc>
        <w:tc>
          <w:tcPr>
            <w:tcW w:w="863" w:type="pct"/>
            <w:vAlign w:val="center"/>
          </w:tcPr>
          <w:p w:rsidR="00E018A6" w:rsidRPr="000A6B0A" w:rsidRDefault="00E018A6" w:rsidP="0086605D">
            <w:pPr>
              <w:jc w:val="center"/>
              <w:rPr>
                <w:rFonts w:ascii="Calibri" w:hAnsi="Calibri" w:cs="Calibri"/>
                <w:i/>
                <w:color w:val="800000"/>
                <w:sz w:val="22"/>
                <w:szCs w:val="22"/>
                <w:lang w:val="en-GB"/>
              </w:rPr>
            </w:pPr>
            <w:r w:rsidRPr="000A6B0A">
              <w:rPr>
                <w:rFonts w:ascii="Wingdings 2" w:hAnsi="Wingdings 2"/>
                <w:b/>
                <w:color w:val="008000"/>
                <w:sz w:val="28"/>
                <w:szCs w:val="28"/>
                <w:lang w:val="en-GB"/>
              </w:rPr>
              <w:t></w:t>
            </w:r>
          </w:p>
        </w:tc>
        <w:tc>
          <w:tcPr>
            <w:tcW w:w="862" w:type="pct"/>
            <w:vAlign w:val="center"/>
          </w:tcPr>
          <w:p w:rsidR="00E018A6" w:rsidRPr="000A6B0A" w:rsidRDefault="00E018A6" w:rsidP="0086605D">
            <w:pPr>
              <w:jc w:val="center"/>
              <w:rPr>
                <w:rFonts w:ascii="Calibri" w:hAnsi="Calibri" w:cs="Calibri"/>
                <w:i/>
                <w:color w:val="800000"/>
                <w:sz w:val="22"/>
                <w:szCs w:val="22"/>
                <w:lang w:val="en-GB"/>
              </w:rPr>
            </w:pPr>
            <w:r w:rsidRPr="000A6B0A">
              <w:rPr>
                <w:rFonts w:ascii="Wingdings 2" w:hAnsi="Wingdings 2"/>
                <w:b/>
                <w:color w:val="800000"/>
                <w:sz w:val="28"/>
                <w:szCs w:val="28"/>
                <w:lang w:val="en-GB"/>
              </w:rPr>
              <w:t></w:t>
            </w:r>
          </w:p>
        </w:tc>
        <w:tc>
          <w:tcPr>
            <w:tcW w:w="1097" w:type="pct"/>
            <w:vAlign w:val="center"/>
          </w:tcPr>
          <w:p w:rsidR="00E018A6" w:rsidRPr="000A6B0A" w:rsidRDefault="00E018A6" w:rsidP="0086605D">
            <w:pPr>
              <w:jc w:val="center"/>
              <w:rPr>
                <w:rFonts w:ascii="Calibri" w:hAnsi="Calibri" w:cs="Calibri"/>
                <w:i/>
                <w:color w:val="800000"/>
                <w:sz w:val="22"/>
                <w:szCs w:val="22"/>
                <w:lang w:val="en-GB"/>
              </w:rPr>
            </w:pPr>
            <w:r w:rsidRPr="000A6B0A">
              <w:rPr>
                <w:rFonts w:ascii="Wingdings 2" w:hAnsi="Wingdings 2"/>
                <w:b/>
                <w:color w:val="008000"/>
                <w:sz w:val="28"/>
                <w:szCs w:val="28"/>
                <w:lang w:val="en-GB"/>
              </w:rPr>
              <w:t></w:t>
            </w:r>
          </w:p>
        </w:tc>
      </w:tr>
      <w:tr w:rsidR="00D371CA" w:rsidRPr="000A6B0A" w:rsidTr="0086605D">
        <w:trPr>
          <w:trHeight w:val="56"/>
        </w:trPr>
        <w:tc>
          <w:tcPr>
            <w:tcW w:w="1021" w:type="pct"/>
            <w:shd w:val="clear" w:color="auto" w:fill="D9D9D9" w:themeFill="background1" w:themeFillShade="D9"/>
            <w:vAlign w:val="center"/>
          </w:tcPr>
          <w:p w:rsidR="00D130AD" w:rsidRPr="000A6B0A" w:rsidRDefault="00D130AD" w:rsidP="0086605D">
            <w:pPr>
              <w:pStyle w:val="Tabellenkopf"/>
              <w:spacing w:before="0" w:after="0"/>
              <w:jc w:val="center"/>
              <w:rPr>
                <w:rFonts w:ascii="Calibri" w:hAnsi="Calibri" w:cs="Calibri"/>
                <w:b/>
                <w:color w:val="000000"/>
                <w:sz w:val="20"/>
                <w:lang w:val="en-GB"/>
              </w:rPr>
            </w:pPr>
            <w:r w:rsidRPr="000A6B0A">
              <w:rPr>
                <w:rFonts w:ascii="Calibri" w:hAnsi="Calibri" w:cs="Calibri"/>
                <w:b/>
                <w:color w:val="000000"/>
                <w:sz w:val="20"/>
                <w:lang w:val="en-GB"/>
              </w:rPr>
              <w:t xml:space="preserve">Italy </w:t>
            </w:r>
          </w:p>
        </w:tc>
        <w:tc>
          <w:tcPr>
            <w:tcW w:w="1156" w:type="pct"/>
            <w:shd w:val="clear" w:color="auto" w:fill="D9D9D9" w:themeFill="background1" w:themeFillShade="D9"/>
            <w:vAlign w:val="center"/>
          </w:tcPr>
          <w:p w:rsidR="00D130AD" w:rsidRPr="00296817" w:rsidRDefault="00D130AD"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shd w:val="clear" w:color="auto" w:fill="D9D9D9" w:themeFill="background1" w:themeFillShade="D9"/>
            <w:vAlign w:val="center"/>
          </w:tcPr>
          <w:p w:rsidR="00D130AD" w:rsidRPr="000A6B0A" w:rsidRDefault="00D130AD" w:rsidP="0086605D">
            <w:pPr>
              <w:jc w:val="center"/>
              <w:rPr>
                <w:rFonts w:ascii="Wingdings 2" w:hAnsi="Wingdings 2"/>
                <w:b/>
                <w:color w:val="0000FF"/>
                <w:sz w:val="28"/>
                <w:szCs w:val="28"/>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D130AD" w:rsidRPr="000A6B0A" w:rsidRDefault="00100361" w:rsidP="0086605D">
            <w:pPr>
              <w:jc w:val="center"/>
              <w:rPr>
                <w:rFonts w:ascii="Wingdings 2" w:hAnsi="Wingdings 2"/>
                <w:b/>
                <w:color w:val="0000FF"/>
                <w:sz w:val="28"/>
                <w:szCs w:val="28"/>
                <w:lang w:val="en-GB"/>
              </w:rPr>
            </w:pPr>
            <w:r w:rsidRPr="000A6B0A">
              <w:rPr>
                <w:rFonts w:ascii="Wingdings 2" w:hAnsi="Wingdings 2"/>
                <w:b/>
                <w:color w:val="008000"/>
                <w:sz w:val="28"/>
                <w:szCs w:val="28"/>
                <w:lang w:val="en-GB"/>
              </w:rPr>
              <w:t></w:t>
            </w:r>
          </w:p>
        </w:tc>
        <w:tc>
          <w:tcPr>
            <w:tcW w:w="1097" w:type="pct"/>
            <w:shd w:val="clear" w:color="auto" w:fill="D9D9D9" w:themeFill="background1" w:themeFillShade="D9"/>
            <w:vAlign w:val="center"/>
          </w:tcPr>
          <w:p w:rsidR="00D130AD" w:rsidRPr="000A6B0A" w:rsidRDefault="00D130AD" w:rsidP="0086605D">
            <w:pPr>
              <w:jc w:val="center"/>
              <w:rPr>
                <w:color w:val="0000FF"/>
                <w:lang w:val="en-GB"/>
              </w:rPr>
            </w:pPr>
            <w:r w:rsidRPr="000A6B0A">
              <w:rPr>
                <w:rFonts w:ascii="Wingdings 2" w:hAnsi="Wingdings 2"/>
                <w:b/>
                <w:color w:val="008000"/>
                <w:sz w:val="28"/>
                <w:szCs w:val="28"/>
                <w:lang w:val="en-GB"/>
              </w:rPr>
              <w:t></w:t>
            </w:r>
          </w:p>
        </w:tc>
      </w:tr>
      <w:tr w:rsidR="00D371CA" w:rsidRPr="000A6B0A" w:rsidTr="00D113B2">
        <w:trPr>
          <w:trHeight w:val="56"/>
        </w:trPr>
        <w:tc>
          <w:tcPr>
            <w:tcW w:w="1021" w:type="pct"/>
            <w:vAlign w:val="center"/>
          </w:tcPr>
          <w:p w:rsidR="00D130AD" w:rsidRPr="000A6B0A" w:rsidRDefault="00D130AD" w:rsidP="0086605D">
            <w:pPr>
              <w:pStyle w:val="Tabellenkopf"/>
              <w:spacing w:before="0" w:after="0"/>
              <w:jc w:val="center"/>
              <w:rPr>
                <w:rFonts w:ascii="Calibri" w:hAnsi="Calibri" w:cs="Calibri"/>
                <w:b/>
                <w:color w:val="000000"/>
                <w:sz w:val="20"/>
                <w:lang w:val="en-GB"/>
              </w:rPr>
            </w:pPr>
            <w:r w:rsidRPr="000A6B0A">
              <w:rPr>
                <w:rFonts w:ascii="Calibri" w:hAnsi="Calibri" w:cs="Calibri"/>
                <w:b/>
                <w:color w:val="000000"/>
                <w:sz w:val="20"/>
                <w:lang w:val="en-GB"/>
              </w:rPr>
              <w:t xml:space="preserve">Latvia </w:t>
            </w:r>
          </w:p>
        </w:tc>
        <w:tc>
          <w:tcPr>
            <w:tcW w:w="1156" w:type="pct"/>
            <w:vAlign w:val="center"/>
          </w:tcPr>
          <w:p w:rsidR="00D130AD" w:rsidRPr="000A6B0A" w:rsidRDefault="00D130AD" w:rsidP="003946FB">
            <w:pPr>
              <w:jc w:val="center"/>
              <w:rPr>
                <w:rFonts w:ascii="Wingdings 2" w:hAnsi="Wingdings 2"/>
                <w:b/>
                <w:color w:val="0000FF"/>
                <w:sz w:val="28"/>
                <w:szCs w:val="28"/>
                <w:lang w:val="en-GB"/>
              </w:rPr>
            </w:pPr>
            <w:r w:rsidRPr="000A6B0A">
              <w:rPr>
                <w:rFonts w:ascii="Wingdings 2" w:hAnsi="Wingdings 2"/>
                <w:b/>
                <w:color w:val="800000"/>
                <w:sz w:val="28"/>
                <w:szCs w:val="28"/>
                <w:lang w:val="en-GB"/>
              </w:rPr>
              <w:t></w:t>
            </w:r>
          </w:p>
        </w:tc>
        <w:tc>
          <w:tcPr>
            <w:tcW w:w="863" w:type="pct"/>
            <w:vAlign w:val="center"/>
          </w:tcPr>
          <w:p w:rsidR="00D130AD" w:rsidRPr="000A6B0A" w:rsidRDefault="00D130AD" w:rsidP="0086605D">
            <w:pPr>
              <w:jc w:val="center"/>
              <w:rPr>
                <w:rFonts w:ascii="Wingdings 2" w:hAnsi="Wingdings 2"/>
                <w:b/>
                <w:color w:val="0000FF"/>
                <w:sz w:val="28"/>
                <w:szCs w:val="28"/>
                <w:lang w:val="en-GB"/>
              </w:rPr>
            </w:pPr>
            <w:r w:rsidRPr="000A6B0A">
              <w:rPr>
                <w:rFonts w:ascii="Wingdings 2" w:hAnsi="Wingdings 2"/>
                <w:b/>
                <w:color w:val="800000"/>
                <w:sz w:val="28"/>
                <w:szCs w:val="28"/>
                <w:lang w:val="en-GB"/>
              </w:rPr>
              <w:t></w:t>
            </w:r>
          </w:p>
        </w:tc>
        <w:tc>
          <w:tcPr>
            <w:tcW w:w="862" w:type="pct"/>
            <w:vAlign w:val="center"/>
          </w:tcPr>
          <w:p w:rsidR="00D130AD" w:rsidRPr="000A6B0A" w:rsidRDefault="00D130AD" w:rsidP="0086605D">
            <w:pPr>
              <w:jc w:val="center"/>
              <w:rPr>
                <w:rFonts w:ascii="Wingdings 2" w:hAnsi="Wingdings 2"/>
                <w:b/>
                <w:color w:val="0000FF"/>
                <w:sz w:val="28"/>
                <w:szCs w:val="28"/>
                <w:lang w:val="en-GB"/>
              </w:rPr>
            </w:pPr>
            <w:r w:rsidRPr="000A6B0A">
              <w:rPr>
                <w:rFonts w:ascii="Wingdings 2" w:hAnsi="Wingdings 2"/>
                <w:b/>
                <w:color w:val="800000"/>
                <w:sz w:val="28"/>
                <w:szCs w:val="28"/>
                <w:lang w:val="en-GB"/>
              </w:rPr>
              <w:t></w:t>
            </w:r>
          </w:p>
        </w:tc>
        <w:tc>
          <w:tcPr>
            <w:tcW w:w="1097" w:type="pct"/>
            <w:vAlign w:val="center"/>
          </w:tcPr>
          <w:p w:rsidR="00D130AD" w:rsidRPr="000A6B0A" w:rsidRDefault="00D130AD" w:rsidP="0086605D">
            <w:pPr>
              <w:jc w:val="center"/>
              <w:rPr>
                <w:color w:val="0000FF"/>
                <w:lang w:val="en-GB"/>
              </w:rPr>
            </w:pPr>
            <w:r w:rsidRPr="000A6B0A">
              <w:rPr>
                <w:rFonts w:ascii="Wingdings 2" w:hAnsi="Wingdings 2"/>
                <w:b/>
                <w:color w:val="800000"/>
                <w:sz w:val="28"/>
                <w:szCs w:val="28"/>
                <w:lang w:val="en-GB"/>
              </w:rPr>
              <w:t></w:t>
            </w:r>
          </w:p>
        </w:tc>
      </w:tr>
      <w:tr w:rsidR="00D371CA" w:rsidRPr="000A6B0A" w:rsidTr="0086605D">
        <w:trPr>
          <w:cantSplit/>
          <w:trHeight w:val="56"/>
        </w:trPr>
        <w:tc>
          <w:tcPr>
            <w:tcW w:w="1021" w:type="pct"/>
            <w:shd w:val="clear" w:color="auto" w:fill="D9D9D9" w:themeFill="background1" w:themeFillShade="D9"/>
            <w:vAlign w:val="center"/>
          </w:tcPr>
          <w:p w:rsidR="00D130AD" w:rsidRPr="000A6B0A" w:rsidRDefault="00D130AD"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Luxemburg </w:t>
            </w:r>
          </w:p>
        </w:tc>
        <w:tc>
          <w:tcPr>
            <w:tcW w:w="1156" w:type="pct"/>
            <w:shd w:val="clear" w:color="auto" w:fill="D9D9D9" w:themeFill="background1" w:themeFillShade="D9"/>
            <w:vAlign w:val="center"/>
          </w:tcPr>
          <w:p w:rsidR="00D130AD" w:rsidRPr="00296817" w:rsidRDefault="00D130AD"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shd w:val="clear" w:color="auto" w:fill="D9D9D9" w:themeFill="background1" w:themeFillShade="D9"/>
            <w:vAlign w:val="center"/>
          </w:tcPr>
          <w:p w:rsidR="00D130AD" w:rsidRPr="000A6B0A" w:rsidRDefault="00D130AD" w:rsidP="0086605D">
            <w:pPr>
              <w:jc w:val="center"/>
              <w:rPr>
                <w:rFonts w:ascii="Arial Narrow" w:hAnsi="Arial Narrow"/>
                <w:color w:val="0000FF"/>
                <w:sz w:val="28"/>
                <w:szCs w:val="28"/>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D130AD" w:rsidRPr="000A6B0A" w:rsidRDefault="00D130AD" w:rsidP="0086605D">
            <w:pPr>
              <w:jc w:val="center"/>
              <w:rPr>
                <w:rFonts w:ascii="Wingdings 2" w:hAnsi="Wingdings 2"/>
                <w:b/>
                <w:color w:val="0000FF"/>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D130AD" w:rsidRPr="000A6B0A" w:rsidRDefault="00D130AD" w:rsidP="0086605D">
            <w:pPr>
              <w:jc w:val="center"/>
              <w:rPr>
                <w:rFonts w:ascii="Calibri" w:hAnsi="Calibri" w:cs="Calibri"/>
                <w:i/>
                <w:sz w:val="18"/>
                <w:szCs w:val="1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2"/>
            </w:r>
          </w:p>
        </w:tc>
      </w:tr>
      <w:tr w:rsidR="00D371CA" w:rsidRPr="000A6B0A" w:rsidTr="00D113B2">
        <w:trPr>
          <w:trHeight w:val="56"/>
        </w:trPr>
        <w:tc>
          <w:tcPr>
            <w:tcW w:w="1021" w:type="pct"/>
            <w:vAlign w:val="center"/>
          </w:tcPr>
          <w:p w:rsidR="003712A4" w:rsidRPr="000A6B0A" w:rsidRDefault="003712A4" w:rsidP="0086605D">
            <w:pPr>
              <w:pStyle w:val="Tabellenkopf"/>
              <w:spacing w:before="0" w:after="0"/>
              <w:jc w:val="center"/>
              <w:rPr>
                <w:rFonts w:ascii="Calibri" w:hAnsi="Calibri" w:cs="Calibri"/>
                <w:b/>
                <w:color w:val="FF6600"/>
                <w:sz w:val="20"/>
                <w:lang w:val="en-GB"/>
              </w:rPr>
            </w:pPr>
            <w:r w:rsidRPr="000A6B0A">
              <w:rPr>
                <w:rFonts w:ascii="Calibri" w:hAnsi="Calibri" w:cs="Calibri"/>
                <w:b/>
                <w:sz w:val="20"/>
                <w:lang w:val="en-GB"/>
              </w:rPr>
              <w:t xml:space="preserve">Netherlands </w:t>
            </w:r>
          </w:p>
        </w:tc>
        <w:tc>
          <w:tcPr>
            <w:tcW w:w="1156" w:type="pct"/>
            <w:vAlign w:val="center"/>
          </w:tcPr>
          <w:p w:rsidR="003712A4" w:rsidRPr="000A6B0A" w:rsidRDefault="003712A4"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vAlign w:val="center"/>
          </w:tcPr>
          <w:p w:rsidR="003712A4" w:rsidRPr="00296817" w:rsidRDefault="003712A4"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3"/>
            </w:r>
          </w:p>
        </w:tc>
        <w:tc>
          <w:tcPr>
            <w:tcW w:w="862" w:type="pct"/>
            <w:vAlign w:val="center"/>
          </w:tcPr>
          <w:p w:rsidR="003712A4" w:rsidRPr="00296817" w:rsidRDefault="003712A4"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r w:rsidR="00296817" w:rsidRPr="008949E3">
              <w:rPr>
                <w:rStyle w:val="Appelnotedebasdep"/>
                <w:rFonts w:asciiTheme="minorHAnsi" w:hAnsiTheme="minorHAnsi"/>
                <w:b/>
                <w:sz w:val="20"/>
                <w:szCs w:val="20"/>
                <w:lang w:val="en-GB"/>
              </w:rPr>
              <w:footnoteReference w:id="44"/>
            </w:r>
          </w:p>
        </w:tc>
        <w:tc>
          <w:tcPr>
            <w:tcW w:w="1097" w:type="pct"/>
            <w:vAlign w:val="center"/>
          </w:tcPr>
          <w:p w:rsidR="003712A4" w:rsidRPr="00296817" w:rsidRDefault="003712A4"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5"/>
            </w:r>
          </w:p>
        </w:tc>
      </w:tr>
      <w:tr w:rsidR="00B92A08" w:rsidRPr="000A6B0A" w:rsidTr="0086605D">
        <w:trPr>
          <w:trHeight w:val="56"/>
        </w:trPr>
        <w:tc>
          <w:tcPr>
            <w:tcW w:w="1021" w:type="pct"/>
            <w:shd w:val="clear" w:color="auto" w:fill="D9D9D9" w:themeFill="background1" w:themeFillShade="D9"/>
            <w:vAlign w:val="center"/>
          </w:tcPr>
          <w:p w:rsidR="00B92A08" w:rsidRPr="000A6B0A" w:rsidRDefault="00B92A08" w:rsidP="0086605D">
            <w:pPr>
              <w:pStyle w:val="Tabellenkopf"/>
              <w:spacing w:before="0" w:after="0"/>
              <w:jc w:val="center"/>
              <w:rPr>
                <w:rFonts w:ascii="Calibri" w:hAnsi="Calibri" w:cs="Calibri"/>
                <w:b/>
                <w:sz w:val="20"/>
                <w:lang w:val="en-GB"/>
              </w:rPr>
            </w:pPr>
            <w:r>
              <w:rPr>
                <w:rFonts w:ascii="Calibri" w:hAnsi="Calibri" w:cs="Calibri"/>
                <w:b/>
                <w:sz w:val="20"/>
                <w:lang w:val="en-GB"/>
              </w:rPr>
              <w:t>Norway</w:t>
            </w:r>
          </w:p>
        </w:tc>
        <w:tc>
          <w:tcPr>
            <w:tcW w:w="1156" w:type="pct"/>
            <w:shd w:val="clear" w:color="auto" w:fill="D9D9D9" w:themeFill="background1" w:themeFillShade="D9"/>
            <w:vAlign w:val="center"/>
          </w:tcPr>
          <w:p w:rsidR="00B92A08" w:rsidRPr="000A6B0A" w:rsidRDefault="00B92A08" w:rsidP="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3" w:type="pct"/>
            <w:shd w:val="clear" w:color="auto" w:fill="D9D9D9" w:themeFill="background1" w:themeFillShade="D9"/>
            <w:vAlign w:val="center"/>
          </w:tcPr>
          <w:p w:rsidR="00B92A08" w:rsidRPr="000A6B0A" w:rsidRDefault="00B92A08"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B92A08" w:rsidRPr="000A6B0A" w:rsidRDefault="00DF6B17" w:rsidP="0086605D">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97" w:type="pct"/>
            <w:shd w:val="clear" w:color="auto" w:fill="D9D9D9" w:themeFill="background1" w:themeFillShade="D9"/>
            <w:vAlign w:val="center"/>
          </w:tcPr>
          <w:p w:rsidR="00B92A08" w:rsidRPr="000A6B0A" w:rsidRDefault="00DF6B17"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371CA" w:rsidRPr="000A6B0A" w:rsidTr="00D113B2">
        <w:trPr>
          <w:trHeight w:val="56"/>
        </w:trPr>
        <w:tc>
          <w:tcPr>
            <w:tcW w:w="1021" w:type="pct"/>
            <w:vAlign w:val="center"/>
          </w:tcPr>
          <w:p w:rsidR="00D130AD" w:rsidRPr="000A6B0A" w:rsidRDefault="00D130AD"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Poland</w:t>
            </w:r>
          </w:p>
        </w:tc>
        <w:tc>
          <w:tcPr>
            <w:tcW w:w="1156" w:type="pct"/>
            <w:vAlign w:val="center"/>
          </w:tcPr>
          <w:p w:rsidR="00D130AD" w:rsidRPr="0052214D" w:rsidRDefault="00D130AD" w:rsidP="003946FB">
            <w:pPr>
              <w:jc w:val="center"/>
              <w:rPr>
                <w:rFonts w:ascii="Wingdings 2" w:hAnsi="Wingdings 2"/>
                <w:b/>
                <w:color w:val="800000"/>
                <w:sz w:val="28"/>
                <w:szCs w:val="28"/>
                <w:lang w:val="en-GB"/>
              </w:rPr>
            </w:pPr>
            <w:r w:rsidRPr="0052214D">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6"/>
            </w:r>
          </w:p>
        </w:tc>
        <w:tc>
          <w:tcPr>
            <w:tcW w:w="863" w:type="pct"/>
            <w:vAlign w:val="center"/>
          </w:tcPr>
          <w:p w:rsidR="00D130AD" w:rsidRPr="00296817" w:rsidRDefault="009C7321" w:rsidP="0086605D">
            <w:pPr>
              <w:jc w:val="center"/>
              <w:rPr>
                <w:rFonts w:ascii="Wingdings 2" w:hAnsi="Wingdings 2"/>
                <w:b/>
                <w:sz w:val="28"/>
                <w:szCs w:val="28"/>
                <w:lang w:val="en-GB"/>
              </w:rPr>
            </w:pPr>
            <w:r w:rsidRPr="00920176">
              <w:rPr>
                <w:rFonts w:ascii="Wingdings 2" w:hAnsi="Wingdings 2"/>
                <w:b/>
                <w:color w:val="800000"/>
                <w:sz w:val="28"/>
                <w:szCs w:val="28"/>
                <w:lang w:val="en-GB"/>
              </w:rPr>
              <w:t></w:t>
            </w:r>
            <w:r w:rsidR="00296817" w:rsidRPr="008949E3">
              <w:rPr>
                <w:rStyle w:val="Appelnotedebasdep"/>
                <w:rFonts w:asciiTheme="minorHAnsi" w:hAnsiTheme="minorHAnsi"/>
                <w:b/>
                <w:sz w:val="20"/>
                <w:szCs w:val="20"/>
                <w:lang w:val="en-GB"/>
              </w:rPr>
              <w:footnoteReference w:id="47"/>
            </w:r>
          </w:p>
        </w:tc>
        <w:tc>
          <w:tcPr>
            <w:tcW w:w="862" w:type="pct"/>
            <w:vAlign w:val="center"/>
          </w:tcPr>
          <w:p w:rsidR="00D130AD" w:rsidRPr="000A6B0A" w:rsidRDefault="00D130AD" w:rsidP="0086605D">
            <w:pPr>
              <w:jc w:val="center"/>
              <w:rPr>
                <w:rFonts w:ascii="Wingdings 2" w:hAnsi="Wingdings 2"/>
                <w:b/>
                <w:color w:val="800000"/>
                <w:sz w:val="28"/>
                <w:szCs w:val="28"/>
                <w:lang w:val="en-GB"/>
              </w:rPr>
            </w:pPr>
            <w:r w:rsidRPr="0052214D">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48"/>
            </w:r>
          </w:p>
        </w:tc>
        <w:tc>
          <w:tcPr>
            <w:tcW w:w="1097" w:type="pct"/>
            <w:vAlign w:val="center"/>
          </w:tcPr>
          <w:p w:rsidR="00D130AD" w:rsidRPr="000A6B0A" w:rsidRDefault="00D130AD"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D0F6C" w:rsidRPr="000A6B0A" w:rsidTr="0086605D">
        <w:trPr>
          <w:trHeight w:val="56"/>
        </w:trPr>
        <w:tc>
          <w:tcPr>
            <w:tcW w:w="1021" w:type="pct"/>
            <w:shd w:val="clear" w:color="auto" w:fill="D9D9D9" w:themeFill="background1" w:themeFillShade="D9"/>
            <w:vAlign w:val="center"/>
          </w:tcPr>
          <w:p w:rsidR="00DD0F6C" w:rsidRPr="000A6B0A" w:rsidRDefault="00DD0F6C"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r w:rsidRPr="008949E3">
              <w:rPr>
                <w:rStyle w:val="Appelnotedebasdep"/>
                <w:rFonts w:asciiTheme="minorHAnsi" w:hAnsiTheme="minorHAnsi"/>
                <w:b/>
                <w:sz w:val="20"/>
                <w:lang w:val="en-GB"/>
              </w:rPr>
              <w:footnoteReference w:id="49"/>
            </w:r>
          </w:p>
        </w:tc>
        <w:tc>
          <w:tcPr>
            <w:tcW w:w="1156" w:type="pct"/>
            <w:shd w:val="clear" w:color="auto" w:fill="D9D9D9" w:themeFill="background1" w:themeFillShade="D9"/>
            <w:vAlign w:val="center"/>
          </w:tcPr>
          <w:p w:rsidR="00DD0F6C" w:rsidRPr="0052214D" w:rsidRDefault="00C34E0E" w:rsidP="003946FB">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63" w:type="pct"/>
            <w:shd w:val="clear" w:color="auto" w:fill="D9D9D9" w:themeFill="background1" w:themeFillShade="D9"/>
            <w:vAlign w:val="center"/>
          </w:tcPr>
          <w:p w:rsidR="00DD0F6C" w:rsidRPr="00920176" w:rsidRDefault="00DD0F6C" w:rsidP="0086605D">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62" w:type="pct"/>
            <w:shd w:val="clear" w:color="auto" w:fill="D9D9D9" w:themeFill="background1" w:themeFillShade="D9"/>
            <w:vAlign w:val="center"/>
          </w:tcPr>
          <w:p w:rsidR="00DD0F6C" w:rsidRPr="0052214D" w:rsidRDefault="00DD0F6C" w:rsidP="0086605D">
            <w:pPr>
              <w:jc w:val="center"/>
              <w:rPr>
                <w:rFonts w:ascii="Wingdings 2" w:hAnsi="Wingdings 2"/>
                <w:b/>
                <w:color w:val="008000"/>
                <w:sz w:val="28"/>
                <w:szCs w:val="28"/>
                <w:lang w:val="en-GB"/>
              </w:rPr>
            </w:pPr>
            <w:r w:rsidRPr="00920176">
              <w:rPr>
                <w:rFonts w:ascii="Wingdings 2" w:hAnsi="Wingdings 2"/>
                <w:b/>
                <w:color w:val="800000"/>
                <w:sz w:val="28"/>
                <w:szCs w:val="28"/>
                <w:lang w:val="en-GB"/>
              </w:rPr>
              <w:t></w:t>
            </w:r>
          </w:p>
        </w:tc>
        <w:tc>
          <w:tcPr>
            <w:tcW w:w="1097" w:type="pct"/>
            <w:shd w:val="clear" w:color="auto" w:fill="D9D9D9" w:themeFill="background1" w:themeFillShade="D9"/>
            <w:vAlign w:val="center"/>
          </w:tcPr>
          <w:p w:rsidR="00DD0F6C" w:rsidRPr="000A6B0A" w:rsidRDefault="00DD0F6C" w:rsidP="0086605D">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FF7B6C" w:rsidRPr="000A6B0A" w:rsidTr="00D113B2">
        <w:trPr>
          <w:trHeight w:val="56"/>
        </w:trPr>
        <w:tc>
          <w:tcPr>
            <w:tcW w:w="1021" w:type="pct"/>
            <w:vAlign w:val="center"/>
          </w:tcPr>
          <w:p w:rsidR="00FF7B6C" w:rsidRPr="00920176" w:rsidRDefault="00FF7B6C"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156" w:type="pct"/>
            <w:vAlign w:val="center"/>
          </w:tcPr>
          <w:p w:rsidR="00FF7B6C" w:rsidRPr="00920176" w:rsidRDefault="00FF7B6C" w:rsidP="003946FB">
            <w:pPr>
              <w:jc w:val="center"/>
              <w:rPr>
                <w:rFonts w:ascii="Wingdings 2" w:hAnsi="Wingdings 2"/>
                <w:b/>
                <w:color w:val="008000"/>
                <w:sz w:val="28"/>
                <w:szCs w:val="28"/>
                <w:lang w:val="en-GB"/>
              </w:rPr>
            </w:pPr>
            <w:r>
              <w:rPr>
                <w:rFonts w:ascii="Wingdings 2" w:hAnsi="Wingdings 2"/>
                <w:b/>
                <w:color w:val="800000"/>
                <w:sz w:val="28"/>
                <w:szCs w:val="28"/>
                <w:lang w:val="en-GB"/>
              </w:rPr>
              <w:t></w:t>
            </w:r>
            <w:r w:rsidRPr="0086605D">
              <w:rPr>
                <w:rStyle w:val="Appelnotedebasdep"/>
                <w:rFonts w:asciiTheme="minorHAnsi" w:hAnsiTheme="minorHAnsi"/>
                <w:b/>
                <w:sz w:val="20"/>
                <w:szCs w:val="20"/>
                <w:lang w:val="en-GB"/>
              </w:rPr>
              <w:footnoteReference w:id="50"/>
            </w:r>
          </w:p>
        </w:tc>
        <w:tc>
          <w:tcPr>
            <w:tcW w:w="863" w:type="pct"/>
            <w:vAlign w:val="center"/>
          </w:tcPr>
          <w:p w:rsidR="00FF7B6C" w:rsidRPr="00920176" w:rsidRDefault="00FF7B6C" w:rsidP="0086605D">
            <w:pPr>
              <w:jc w:val="center"/>
              <w:rPr>
                <w:rFonts w:ascii="Wingdings 2" w:hAnsi="Wingdings 2"/>
                <w:b/>
                <w:color w:val="008000"/>
                <w:sz w:val="28"/>
                <w:szCs w:val="28"/>
                <w:lang w:val="en-GB"/>
              </w:rPr>
            </w:pPr>
            <w:r>
              <w:rPr>
                <w:rFonts w:ascii="Wingdings 2" w:hAnsi="Wingdings 2"/>
                <w:b/>
                <w:color w:val="008000"/>
                <w:sz w:val="28"/>
                <w:szCs w:val="28"/>
                <w:lang w:val="en-GB"/>
              </w:rPr>
              <w:t></w:t>
            </w:r>
            <w:r>
              <w:rPr>
                <w:rStyle w:val="Appelnotedebasdep"/>
                <w:rFonts w:asciiTheme="minorHAnsi" w:hAnsiTheme="minorHAnsi"/>
                <w:b/>
                <w:sz w:val="20"/>
                <w:szCs w:val="20"/>
                <w:lang w:val="en-GB"/>
              </w:rPr>
              <w:footnoteReference w:id="51"/>
            </w:r>
          </w:p>
        </w:tc>
        <w:tc>
          <w:tcPr>
            <w:tcW w:w="862" w:type="pct"/>
            <w:vAlign w:val="center"/>
          </w:tcPr>
          <w:p w:rsidR="00FF7B6C" w:rsidRPr="00920176" w:rsidRDefault="00FF7B6C" w:rsidP="0086605D">
            <w:pPr>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097" w:type="pct"/>
            <w:vAlign w:val="center"/>
          </w:tcPr>
          <w:p w:rsidR="00FF7B6C" w:rsidRPr="00296817" w:rsidRDefault="00FF7B6C" w:rsidP="0086605D">
            <w:pPr>
              <w:jc w:val="center"/>
              <w:rPr>
                <w:rFonts w:ascii="Wingdings 2" w:hAnsi="Wingdings 2"/>
                <w:b/>
                <w:i/>
                <w:color w:val="008000"/>
                <w:sz w:val="28"/>
                <w:szCs w:val="28"/>
                <w:lang w:val="en-GB"/>
              </w:rPr>
            </w:pPr>
            <w:r>
              <w:rPr>
                <w:rFonts w:ascii="Wingdings 2" w:hAnsi="Wingdings 2"/>
                <w:b/>
                <w:color w:val="008000"/>
                <w:sz w:val="28"/>
                <w:szCs w:val="28"/>
                <w:lang w:val="en-GB"/>
              </w:rPr>
              <w:t></w:t>
            </w:r>
            <w:r w:rsidRPr="0086605D">
              <w:rPr>
                <w:rStyle w:val="Appelnotedebasdep"/>
                <w:rFonts w:asciiTheme="minorHAnsi" w:hAnsiTheme="minorHAnsi"/>
                <w:b/>
                <w:sz w:val="20"/>
                <w:szCs w:val="20"/>
                <w:lang w:val="en-GB"/>
              </w:rPr>
              <w:footnoteReference w:id="52"/>
            </w:r>
          </w:p>
        </w:tc>
      </w:tr>
      <w:tr w:rsidR="0038644B" w:rsidRPr="00920176" w:rsidTr="0086605D">
        <w:trPr>
          <w:trHeight w:val="56"/>
        </w:trPr>
        <w:tc>
          <w:tcPr>
            <w:tcW w:w="1021" w:type="pct"/>
            <w:shd w:val="clear" w:color="auto" w:fill="D9D9D9" w:themeFill="background1" w:themeFillShade="D9"/>
            <w:vAlign w:val="center"/>
          </w:tcPr>
          <w:p w:rsidR="0038644B" w:rsidRPr="00920176" w:rsidRDefault="0038644B" w:rsidP="0086605D">
            <w:pPr>
              <w:pStyle w:val="Tabellenkopf"/>
              <w:spacing w:before="0" w:after="0"/>
              <w:jc w:val="center"/>
              <w:rPr>
                <w:rFonts w:ascii="Calibri" w:hAnsi="Calibri" w:cs="Calibri"/>
                <w:b/>
                <w:sz w:val="20"/>
                <w:lang w:val="en-GB"/>
              </w:rPr>
            </w:pPr>
            <w:r>
              <w:rPr>
                <w:rFonts w:ascii="Calibri" w:hAnsi="Calibri" w:cs="Calibri"/>
                <w:b/>
                <w:sz w:val="20"/>
                <w:lang w:val="en-GB"/>
              </w:rPr>
              <w:t>Slovakia</w:t>
            </w:r>
          </w:p>
        </w:tc>
        <w:tc>
          <w:tcPr>
            <w:tcW w:w="1156" w:type="pct"/>
            <w:shd w:val="clear" w:color="auto" w:fill="D9D9D9" w:themeFill="background1" w:themeFillShade="D9"/>
            <w:vAlign w:val="center"/>
          </w:tcPr>
          <w:p w:rsidR="0038644B" w:rsidRPr="00920176" w:rsidRDefault="0038644B" w:rsidP="003946FB">
            <w:pPr>
              <w:jc w:val="center"/>
              <w:rPr>
                <w:rFonts w:ascii="Wingdings 2" w:hAnsi="Wingdings 2"/>
                <w:b/>
                <w:color w:val="008000"/>
                <w:sz w:val="28"/>
                <w:szCs w:val="28"/>
                <w:lang w:val="en-GB"/>
              </w:rPr>
            </w:pPr>
            <w:r w:rsidRPr="00920176">
              <w:rPr>
                <w:rFonts w:ascii="Wingdings 2" w:hAnsi="Wingdings 2"/>
                <w:b/>
                <w:color w:val="800000"/>
                <w:sz w:val="28"/>
                <w:szCs w:val="28"/>
                <w:lang w:val="en-GB"/>
              </w:rPr>
              <w:t></w:t>
            </w:r>
          </w:p>
        </w:tc>
        <w:tc>
          <w:tcPr>
            <w:tcW w:w="863" w:type="pct"/>
            <w:shd w:val="clear" w:color="auto" w:fill="D9D9D9" w:themeFill="background1" w:themeFillShade="D9"/>
            <w:vAlign w:val="center"/>
          </w:tcPr>
          <w:p w:rsidR="0038644B" w:rsidRPr="00920176" w:rsidRDefault="0038644B" w:rsidP="0086605D">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c>
          <w:tcPr>
            <w:tcW w:w="862" w:type="pct"/>
            <w:shd w:val="clear" w:color="auto" w:fill="D9D9D9" w:themeFill="background1" w:themeFillShade="D9"/>
            <w:vAlign w:val="center"/>
          </w:tcPr>
          <w:p w:rsidR="0038644B" w:rsidRPr="00920176" w:rsidRDefault="0038644B" w:rsidP="0086605D">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c>
          <w:tcPr>
            <w:tcW w:w="1097" w:type="pct"/>
            <w:shd w:val="clear" w:color="auto" w:fill="D9D9D9" w:themeFill="background1" w:themeFillShade="D9"/>
            <w:vAlign w:val="center"/>
          </w:tcPr>
          <w:p w:rsidR="0038644B" w:rsidRPr="00920176" w:rsidRDefault="0038644B" w:rsidP="0086605D">
            <w:pPr>
              <w:jc w:val="center"/>
              <w:rPr>
                <w:rFonts w:ascii="Wingdings 2" w:hAnsi="Wingdings 2"/>
                <w:b/>
                <w:color w:val="008000"/>
                <w:sz w:val="28"/>
                <w:szCs w:val="28"/>
                <w:lang w:val="en-GB"/>
              </w:rPr>
            </w:pPr>
            <w:r w:rsidRPr="00920176">
              <w:rPr>
                <w:rFonts w:ascii="Wingdings 2" w:hAnsi="Wingdings 2"/>
                <w:b/>
                <w:color w:val="800000"/>
                <w:sz w:val="28"/>
                <w:szCs w:val="28"/>
                <w:lang w:val="en-GB"/>
              </w:rPr>
              <w:t></w:t>
            </w:r>
          </w:p>
        </w:tc>
      </w:tr>
      <w:tr w:rsidR="00D371CA" w:rsidRPr="00920176" w:rsidTr="00D113B2">
        <w:trPr>
          <w:trHeight w:val="56"/>
        </w:trPr>
        <w:tc>
          <w:tcPr>
            <w:tcW w:w="1021" w:type="pct"/>
            <w:vAlign w:val="center"/>
          </w:tcPr>
          <w:p w:rsidR="00D130AD" w:rsidRPr="00920176" w:rsidRDefault="00D130AD" w:rsidP="0086605D">
            <w:pPr>
              <w:pStyle w:val="Tabellenkopf"/>
              <w:spacing w:before="0" w:after="0"/>
              <w:jc w:val="center"/>
              <w:rPr>
                <w:rFonts w:ascii="Calibri" w:hAnsi="Calibri" w:cs="Calibri"/>
                <w:b/>
                <w:sz w:val="20"/>
                <w:lang w:val="en-GB"/>
              </w:rPr>
            </w:pPr>
            <w:r w:rsidRPr="00920176">
              <w:rPr>
                <w:rFonts w:ascii="Calibri" w:hAnsi="Calibri" w:cs="Calibri"/>
                <w:b/>
                <w:sz w:val="20"/>
                <w:lang w:val="en-GB"/>
              </w:rPr>
              <w:t>Slovenia</w:t>
            </w:r>
          </w:p>
        </w:tc>
        <w:tc>
          <w:tcPr>
            <w:tcW w:w="1156" w:type="pct"/>
            <w:vAlign w:val="center"/>
          </w:tcPr>
          <w:p w:rsidR="00D130AD" w:rsidRPr="00920176" w:rsidRDefault="00D130AD" w:rsidP="003946FB">
            <w:pPr>
              <w:jc w:val="center"/>
              <w:rPr>
                <w:rFonts w:ascii="Wingdings 2" w:hAnsi="Wingdings 2"/>
                <w:b/>
                <w:color w:val="800000"/>
                <w:sz w:val="28"/>
                <w:szCs w:val="28"/>
                <w:lang w:val="en-GB"/>
              </w:rPr>
            </w:pPr>
            <w:r w:rsidRPr="00920176">
              <w:rPr>
                <w:rFonts w:ascii="Wingdings 2" w:hAnsi="Wingdings 2"/>
                <w:b/>
                <w:color w:val="008000"/>
                <w:sz w:val="28"/>
                <w:szCs w:val="28"/>
                <w:lang w:val="en-GB"/>
              </w:rPr>
              <w:t></w:t>
            </w:r>
          </w:p>
        </w:tc>
        <w:tc>
          <w:tcPr>
            <w:tcW w:w="863" w:type="pct"/>
            <w:vAlign w:val="center"/>
          </w:tcPr>
          <w:p w:rsidR="00D130AD" w:rsidRPr="00920176" w:rsidRDefault="00D12890" w:rsidP="0086605D">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c>
          <w:tcPr>
            <w:tcW w:w="862" w:type="pct"/>
            <w:vAlign w:val="center"/>
          </w:tcPr>
          <w:p w:rsidR="00D130AD" w:rsidRPr="00920176" w:rsidRDefault="00D130AD" w:rsidP="0086605D">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c>
          <w:tcPr>
            <w:tcW w:w="1097" w:type="pct"/>
            <w:vAlign w:val="center"/>
          </w:tcPr>
          <w:p w:rsidR="00D130AD" w:rsidRPr="00920176" w:rsidRDefault="00D130AD" w:rsidP="0086605D">
            <w:pPr>
              <w:jc w:val="center"/>
              <w:rPr>
                <w:rFonts w:ascii="Wingdings 2" w:hAnsi="Wingdings 2"/>
                <w:b/>
                <w:color w:val="008000"/>
                <w:sz w:val="28"/>
                <w:szCs w:val="28"/>
                <w:lang w:val="en-GB"/>
              </w:rPr>
            </w:pPr>
            <w:r w:rsidRPr="00920176">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53"/>
            </w:r>
          </w:p>
        </w:tc>
      </w:tr>
      <w:tr w:rsidR="00D371CA" w:rsidRPr="00920176" w:rsidTr="0086605D">
        <w:trPr>
          <w:trHeight w:val="56"/>
        </w:trPr>
        <w:tc>
          <w:tcPr>
            <w:tcW w:w="1021" w:type="pct"/>
            <w:shd w:val="clear" w:color="auto" w:fill="D9D9D9" w:themeFill="background1" w:themeFillShade="D9"/>
            <w:vAlign w:val="center"/>
          </w:tcPr>
          <w:p w:rsidR="004D3B5C" w:rsidRPr="00920176" w:rsidRDefault="004D3B5C" w:rsidP="0086605D">
            <w:pPr>
              <w:pStyle w:val="Tabellenkopf"/>
              <w:spacing w:before="0" w:after="0"/>
              <w:jc w:val="center"/>
              <w:rPr>
                <w:rFonts w:ascii="Calibri" w:hAnsi="Calibri" w:cs="Calibri"/>
                <w:b/>
                <w:color w:val="33CCCC"/>
                <w:sz w:val="20"/>
                <w:lang w:val="en-GB"/>
              </w:rPr>
            </w:pPr>
            <w:r w:rsidRPr="00920176">
              <w:rPr>
                <w:rFonts w:ascii="Calibri" w:hAnsi="Calibri" w:cs="Calibri"/>
                <w:b/>
                <w:sz w:val="20"/>
                <w:lang w:val="en-GB"/>
              </w:rPr>
              <w:t>Spain</w:t>
            </w:r>
            <w:r w:rsidRPr="00920176">
              <w:rPr>
                <w:rStyle w:val="Appelnotedebasdep"/>
                <w:rFonts w:ascii="Calibri" w:hAnsi="Calibri"/>
                <w:b/>
                <w:sz w:val="20"/>
                <w:lang w:val="en-GB"/>
              </w:rPr>
              <w:footnoteReference w:id="54"/>
            </w:r>
          </w:p>
        </w:tc>
        <w:tc>
          <w:tcPr>
            <w:tcW w:w="1156" w:type="pct"/>
            <w:shd w:val="clear" w:color="auto" w:fill="D9D9D9" w:themeFill="background1" w:themeFillShade="D9"/>
            <w:vAlign w:val="center"/>
          </w:tcPr>
          <w:p w:rsidR="004D3B5C" w:rsidRPr="00920176" w:rsidRDefault="004D3B5C" w:rsidP="003946FB">
            <w:pPr>
              <w:jc w:val="center"/>
              <w:rPr>
                <w:rFonts w:ascii="Wingdings 2" w:hAnsi="Wingdings 2"/>
                <w:b/>
                <w:color w:val="33CCCC"/>
                <w:sz w:val="28"/>
                <w:szCs w:val="28"/>
                <w:lang w:val="en-GB"/>
              </w:rPr>
            </w:pPr>
            <w:r w:rsidRPr="00920176">
              <w:rPr>
                <w:rFonts w:ascii="Wingdings 2" w:hAnsi="Wingdings 2"/>
                <w:b/>
                <w:color w:val="800000"/>
                <w:sz w:val="28"/>
                <w:szCs w:val="28"/>
                <w:lang w:val="en-GB"/>
              </w:rPr>
              <w:t></w:t>
            </w:r>
          </w:p>
        </w:tc>
        <w:tc>
          <w:tcPr>
            <w:tcW w:w="863" w:type="pct"/>
            <w:shd w:val="clear" w:color="auto" w:fill="D9D9D9" w:themeFill="background1" w:themeFillShade="D9"/>
            <w:vAlign w:val="center"/>
          </w:tcPr>
          <w:p w:rsidR="004D3B5C" w:rsidRPr="00920176" w:rsidRDefault="004D3B5C" w:rsidP="0086605D">
            <w:pPr>
              <w:pStyle w:val="Titre31"/>
              <w:jc w:val="center"/>
              <w:rPr>
                <w:rFonts w:ascii="Wingdings 2" w:hAnsi="Wingdings 2" w:cs="Arial"/>
                <w:b/>
                <w:color w:val="800000"/>
                <w:sz w:val="28"/>
                <w:szCs w:val="28"/>
                <w:lang w:val="en-GB" w:eastAsia="nl-NL"/>
              </w:rPr>
            </w:pPr>
            <w:r w:rsidRPr="00920176">
              <w:rPr>
                <w:rFonts w:ascii="Wingdings 2" w:hAnsi="Wingdings 2" w:cs="Arial"/>
                <w:b/>
                <w:color w:val="800000"/>
                <w:sz w:val="28"/>
                <w:szCs w:val="28"/>
                <w:lang w:val="en-GB" w:eastAsia="nl-NL"/>
              </w:rPr>
              <w:t></w:t>
            </w:r>
          </w:p>
        </w:tc>
        <w:tc>
          <w:tcPr>
            <w:tcW w:w="862" w:type="pct"/>
            <w:shd w:val="clear" w:color="auto" w:fill="D9D9D9" w:themeFill="background1" w:themeFillShade="D9"/>
            <w:vAlign w:val="center"/>
          </w:tcPr>
          <w:p w:rsidR="004D3B5C" w:rsidRPr="00920176" w:rsidRDefault="004D3B5C" w:rsidP="0086605D">
            <w:pPr>
              <w:pStyle w:val="Titre31"/>
              <w:jc w:val="center"/>
              <w:rPr>
                <w:rFonts w:ascii="Wingdings 2" w:hAnsi="Wingdings 2" w:cs="Arial"/>
                <w:b/>
                <w:color w:val="800000"/>
                <w:sz w:val="28"/>
                <w:szCs w:val="28"/>
                <w:lang w:val="en-GB" w:eastAsia="nl-NL"/>
              </w:rPr>
            </w:pPr>
            <w:r w:rsidRPr="00920176">
              <w:rPr>
                <w:rFonts w:ascii="Wingdings 2" w:hAnsi="Wingdings 2" w:cs="Arial"/>
                <w:b/>
                <w:color w:val="800000"/>
                <w:sz w:val="28"/>
                <w:szCs w:val="28"/>
                <w:lang w:val="en-GB" w:eastAsia="nl-NL"/>
              </w:rPr>
              <w:t></w:t>
            </w:r>
          </w:p>
        </w:tc>
        <w:tc>
          <w:tcPr>
            <w:tcW w:w="1097" w:type="pct"/>
            <w:shd w:val="clear" w:color="auto" w:fill="D9D9D9" w:themeFill="background1" w:themeFillShade="D9"/>
            <w:vAlign w:val="center"/>
          </w:tcPr>
          <w:p w:rsidR="004D3B5C" w:rsidRPr="00920176" w:rsidRDefault="004D3B5C" w:rsidP="0086605D">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r>
      <w:tr w:rsidR="00D371CA" w:rsidRPr="00920176" w:rsidTr="00D113B2">
        <w:trPr>
          <w:trHeight w:val="56"/>
        </w:trPr>
        <w:tc>
          <w:tcPr>
            <w:tcW w:w="1021" w:type="pct"/>
            <w:vAlign w:val="center"/>
          </w:tcPr>
          <w:p w:rsidR="00D130AD" w:rsidRPr="00920176" w:rsidRDefault="00D130AD" w:rsidP="0086605D">
            <w:pPr>
              <w:pStyle w:val="Tabellenkopf"/>
              <w:spacing w:before="0" w:after="0"/>
              <w:jc w:val="center"/>
              <w:rPr>
                <w:rFonts w:ascii="Calibri" w:hAnsi="Calibri" w:cs="Calibri"/>
                <w:b/>
                <w:sz w:val="20"/>
                <w:lang w:val="en-GB"/>
              </w:rPr>
            </w:pPr>
            <w:r w:rsidRPr="00920176">
              <w:rPr>
                <w:rFonts w:ascii="Calibri" w:hAnsi="Calibri" w:cs="Calibri"/>
                <w:b/>
                <w:sz w:val="20"/>
                <w:lang w:val="en-GB"/>
              </w:rPr>
              <w:t xml:space="preserve">Sweden </w:t>
            </w:r>
          </w:p>
        </w:tc>
        <w:tc>
          <w:tcPr>
            <w:tcW w:w="1156" w:type="pct"/>
            <w:vAlign w:val="center"/>
          </w:tcPr>
          <w:p w:rsidR="00D130AD" w:rsidRPr="00920176" w:rsidRDefault="00D130AD" w:rsidP="003946FB">
            <w:pPr>
              <w:pStyle w:val="Titre31"/>
              <w:jc w:val="center"/>
              <w:rPr>
                <w:i/>
                <w:lang w:val="en-GB"/>
              </w:rPr>
            </w:pPr>
            <w:r w:rsidRPr="00920176">
              <w:rPr>
                <w:rFonts w:ascii="Wingdings 2" w:hAnsi="Wingdings 2"/>
                <w:b/>
                <w:color w:val="008000"/>
                <w:sz w:val="28"/>
                <w:szCs w:val="28"/>
                <w:lang w:val="en-GB"/>
              </w:rPr>
              <w:t></w:t>
            </w:r>
          </w:p>
        </w:tc>
        <w:tc>
          <w:tcPr>
            <w:tcW w:w="863" w:type="pct"/>
            <w:vAlign w:val="center"/>
          </w:tcPr>
          <w:p w:rsidR="00D130AD" w:rsidRPr="00296817" w:rsidRDefault="00D130AD" w:rsidP="0086605D">
            <w:pPr>
              <w:jc w:val="center"/>
              <w:rPr>
                <w:rFonts w:ascii="Wingdings 2" w:hAnsi="Wingdings 2"/>
                <w:b/>
                <w:color w:val="008000"/>
                <w:sz w:val="28"/>
                <w:szCs w:val="28"/>
                <w:lang w:val="en-GB"/>
              </w:rPr>
            </w:pPr>
            <w:r w:rsidRPr="00920176">
              <w:rPr>
                <w:rFonts w:ascii="Wingdings 2" w:hAnsi="Wingdings 2"/>
                <w:b/>
                <w:color w:val="008000"/>
                <w:sz w:val="28"/>
                <w:szCs w:val="28"/>
                <w:lang w:val="en-GB"/>
              </w:rPr>
              <w:t></w:t>
            </w:r>
            <w:r w:rsidR="00296817" w:rsidRPr="008949E3">
              <w:rPr>
                <w:rStyle w:val="Appelnotedebasdep"/>
                <w:rFonts w:asciiTheme="minorHAnsi" w:hAnsiTheme="minorHAnsi"/>
                <w:b/>
                <w:sz w:val="20"/>
                <w:szCs w:val="20"/>
                <w:lang w:val="en-GB"/>
              </w:rPr>
              <w:footnoteReference w:id="55"/>
            </w:r>
          </w:p>
        </w:tc>
        <w:tc>
          <w:tcPr>
            <w:tcW w:w="862" w:type="pct"/>
            <w:vAlign w:val="center"/>
          </w:tcPr>
          <w:p w:rsidR="00D130AD" w:rsidRPr="00920176" w:rsidRDefault="00D130AD" w:rsidP="0086605D">
            <w:pPr>
              <w:jc w:val="center"/>
              <w:rPr>
                <w:rFonts w:ascii="Wingdings 2" w:hAnsi="Wingdings 2"/>
                <w:b/>
                <w:color w:val="008000"/>
                <w:sz w:val="28"/>
                <w:szCs w:val="28"/>
                <w:lang w:val="en-GB"/>
              </w:rPr>
            </w:pPr>
            <w:r w:rsidRPr="00920176">
              <w:rPr>
                <w:rFonts w:ascii="Wingdings 2" w:hAnsi="Wingdings 2"/>
                <w:b/>
                <w:color w:val="008000"/>
                <w:sz w:val="28"/>
                <w:szCs w:val="28"/>
                <w:lang w:val="en-GB"/>
              </w:rPr>
              <w:t></w:t>
            </w:r>
          </w:p>
        </w:tc>
        <w:tc>
          <w:tcPr>
            <w:tcW w:w="1097" w:type="pct"/>
            <w:vAlign w:val="center"/>
          </w:tcPr>
          <w:p w:rsidR="00D130AD" w:rsidRPr="00920176" w:rsidRDefault="00D130AD" w:rsidP="0086605D">
            <w:pPr>
              <w:jc w:val="center"/>
              <w:rPr>
                <w:rFonts w:ascii="Wingdings 2" w:hAnsi="Wingdings 2"/>
                <w:b/>
                <w:color w:val="800000"/>
                <w:sz w:val="28"/>
                <w:szCs w:val="28"/>
                <w:lang w:val="en-GB"/>
              </w:rPr>
            </w:pPr>
            <w:r w:rsidRPr="00920176">
              <w:rPr>
                <w:rFonts w:ascii="Wingdings 2" w:hAnsi="Wingdings 2"/>
                <w:b/>
                <w:color w:val="008000"/>
                <w:sz w:val="28"/>
                <w:szCs w:val="28"/>
                <w:lang w:val="en-GB"/>
              </w:rPr>
              <w:t></w:t>
            </w:r>
          </w:p>
        </w:tc>
      </w:tr>
      <w:tr w:rsidR="00B26AF2" w:rsidRPr="000A6B0A" w:rsidTr="0086605D">
        <w:trPr>
          <w:trHeight w:val="56"/>
        </w:trPr>
        <w:tc>
          <w:tcPr>
            <w:tcW w:w="1021" w:type="pct"/>
            <w:shd w:val="clear" w:color="auto" w:fill="7F7F7F" w:themeFill="text1" w:themeFillTint="80"/>
            <w:vAlign w:val="center"/>
          </w:tcPr>
          <w:p w:rsidR="00B26AF2" w:rsidRPr="00920176" w:rsidRDefault="00B26AF2" w:rsidP="00B26AF2">
            <w:pPr>
              <w:pStyle w:val="Tabellenkopf"/>
              <w:spacing w:before="0" w:after="0"/>
              <w:jc w:val="center"/>
              <w:rPr>
                <w:rFonts w:ascii="Calibri" w:hAnsi="Calibri" w:cs="Calibri"/>
                <w:b/>
                <w:sz w:val="20"/>
                <w:lang w:val="en-GB"/>
              </w:rPr>
            </w:pPr>
            <w:r w:rsidRPr="000A6B0A">
              <w:rPr>
                <w:rFonts w:ascii="Calibri" w:hAnsi="Calibri" w:cs="Calibri"/>
                <w:b/>
                <w:color w:val="FFFFFF"/>
                <w:sz w:val="20"/>
                <w:lang w:val="en-GB"/>
              </w:rPr>
              <w:lastRenderedPageBreak/>
              <w:t>Country</w:t>
            </w:r>
          </w:p>
        </w:tc>
        <w:tc>
          <w:tcPr>
            <w:tcW w:w="1156" w:type="pct"/>
            <w:shd w:val="clear" w:color="auto" w:fill="7F7F7F" w:themeFill="text1" w:themeFillTint="80"/>
            <w:vAlign w:val="center"/>
          </w:tcPr>
          <w:p w:rsidR="00B26AF2" w:rsidRPr="00920176" w:rsidRDefault="00B26AF2" w:rsidP="00B26AF2">
            <w:pPr>
              <w:pStyle w:val="Titre31"/>
              <w:jc w:val="center"/>
              <w:rPr>
                <w:rFonts w:ascii="Wingdings 2" w:hAnsi="Wingdings 2"/>
                <w:b/>
                <w:color w:val="008000"/>
                <w:sz w:val="28"/>
                <w:szCs w:val="28"/>
                <w:lang w:val="en-GB"/>
              </w:rPr>
            </w:pPr>
            <w:r w:rsidRPr="000A6B0A">
              <w:rPr>
                <w:rFonts w:ascii="Calibri" w:hAnsi="Calibri" w:cs="Calibri"/>
                <w:b/>
                <w:color w:val="FFFFFF"/>
                <w:sz w:val="18"/>
                <w:szCs w:val="18"/>
                <w:lang w:val="en-GB"/>
              </w:rPr>
              <w:t>Congestion / Scarcity</w:t>
            </w:r>
          </w:p>
        </w:tc>
        <w:tc>
          <w:tcPr>
            <w:tcW w:w="863" w:type="pct"/>
            <w:shd w:val="clear" w:color="auto" w:fill="7F7F7F" w:themeFill="text1" w:themeFillTint="80"/>
            <w:vAlign w:val="center"/>
          </w:tcPr>
          <w:p w:rsidR="00B26AF2" w:rsidRPr="00920176" w:rsidRDefault="00B26AF2" w:rsidP="00B26AF2">
            <w:pPr>
              <w:jc w:val="center"/>
              <w:rPr>
                <w:rFonts w:ascii="Wingdings 2" w:hAnsi="Wingdings 2"/>
                <w:b/>
                <w:color w:val="800000"/>
                <w:sz w:val="28"/>
                <w:szCs w:val="28"/>
                <w:lang w:val="en-GB"/>
              </w:rPr>
            </w:pPr>
            <w:r w:rsidRPr="000A6B0A">
              <w:rPr>
                <w:rFonts w:ascii="Calibri" w:hAnsi="Calibri" w:cs="Calibri"/>
                <w:b/>
                <w:color w:val="FFFFFF"/>
                <w:sz w:val="18"/>
                <w:szCs w:val="18"/>
                <w:lang w:val="en-GB"/>
              </w:rPr>
              <w:t>Performance</w:t>
            </w:r>
          </w:p>
        </w:tc>
        <w:tc>
          <w:tcPr>
            <w:tcW w:w="862" w:type="pct"/>
            <w:shd w:val="clear" w:color="auto" w:fill="7F7F7F" w:themeFill="text1" w:themeFillTint="80"/>
            <w:vAlign w:val="center"/>
          </w:tcPr>
          <w:p w:rsidR="00B26AF2" w:rsidRPr="00920176" w:rsidRDefault="00B26AF2" w:rsidP="00B26AF2">
            <w:pPr>
              <w:jc w:val="center"/>
              <w:rPr>
                <w:rFonts w:ascii="Wingdings 2" w:hAnsi="Wingdings 2"/>
                <w:b/>
                <w:color w:val="008000"/>
                <w:sz w:val="28"/>
                <w:szCs w:val="28"/>
                <w:lang w:val="en-GB"/>
              </w:rPr>
            </w:pPr>
            <w:r w:rsidRPr="000A6B0A">
              <w:rPr>
                <w:rFonts w:ascii="Calibri" w:hAnsi="Calibri" w:cs="Calibri"/>
                <w:b/>
                <w:color w:val="FFFFFF"/>
                <w:sz w:val="18"/>
                <w:szCs w:val="18"/>
                <w:lang w:val="en-GB"/>
              </w:rPr>
              <w:t>Environmental</w:t>
            </w:r>
          </w:p>
        </w:tc>
        <w:tc>
          <w:tcPr>
            <w:tcW w:w="1097" w:type="pct"/>
            <w:shd w:val="clear" w:color="auto" w:fill="7F7F7F" w:themeFill="text1" w:themeFillTint="80"/>
            <w:vAlign w:val="center"/>
          </w:tcPr>
          <w:p w:rsidR="00B26AF2" w:rsidRPr="00920176" w:rsidRDefault="00B26AF2" w:rsidP="00B26AF2">
            <w:pPr>
              <w:jc w:val="center"/>
              <w:rPr>
                <w:rFonts w:ascii="Wingdings 2" w:hAnsi="Wingdings 2"/>
                <w:b/>
                <w:color w:val="008000"/>
                <w:sz w:val="28"/>
                <w:szCs w:val="28"/>
                <w:lang w:val="en-GB"/>
              </w:rPr>
            </w:pPr>
            <w:r w:rsidRPr="000A6B0A">
              <w:rPr>
                <w:rFonts w:ascii="Calibri" w:hAnsi="Calibri" w:cs="Calibri"/>
                <w:b/>
                <w:color w:val="FFFFFF"/>
                <w:sz w:val="18"/>
                <w:szCs w:val="18"/>
                <w:lang w:val="en-GB"/>
              </w:rPr>
              <w:t>Reservation or Cancellation charge</w:t>
            </w:r>
          </w:p>
        </w:tc>
      </w:tr>
      <w:tr w:rsidR="00D371CA" w:rsidRPr="000A6B0A" w:rsidTr="0086605D">
        <w:trPr>
          <w:trHeight w:val="56"/>
        </w:trPr>
        <w:tc>
          <w:tcPr>
            <w:tcW w:w="1021" w:type="pct"/>
            <w:shd w:val="clear" w:color="auto" w:fill="D9D9D9" w:themeFill="background1" w:themeFillShade="D9"/>
            <w:vAlign w:val="center"/>
          </w:tcPr>
          <w:p w:rsidR="00AB05A1" w:rsidRPr="00920176" w:rsidRDefault="00AB05A1" w:rsidP="0086605D">
            <w:pPr>
              <w:pStyle w:val="Tabellenkopf"/>
              <w:spacing w:before="0" w:after="0"/>
              <w:jc w:val="center"/>
              <w:rPr>
                <w:rFonts w:ascii="Calibri" w:hAnsi="Calibri" w:cs="Calibri"/>
                <w:b/>
                <w:sz w:val="20"/>
                <w:lang w:val="en-GB"/>
              </w:rPr>
            </w:pPr>
            <w:r w:rsidRPr="00920176">
              <w:rPr>
                <w:rFonts w:ascii="Calibri" w:hAnsi="Calibri" w:cs="Calibri"/>
                <w:b/>
                <w:sz w:val="20"/>
                <w:lang w:val="en-GB"/>
              </w:rPr>
              <w:t>Switzerland</w:t>
            </w:r>
          </w:p>
        </w:tc>
        <w:tc>
          <w:tcPr>
            <w:tcW w:w="1156" w:type="pct"/>
            <w:shd w:val="clear" w:color="auto" w:fill="D9D9D9" w:themeFill="background1" w:themeFillShade="D9"/>
            <w:vAlign w:val="center"/>
          </w:tcPr>
          <w:p w:rsidR="00AB05A1" w:rsidRPr="00920176" w:rsidRDefault="00AB05A1" w:rsidP="003946FB">
            <w:pPr>
              <w:pStyle w:val="Titre31"/>
              <w:jc w:val="center"/>
              <w:rPr>
                <w:rFonts w:ascii="Wingdings 2" w:hAnsi="Wingdings 2"/>
                <w:b/>
                <w:color w:val="008000"/>
                <w:sz w:val="28"/>
                <w:szCs w:val="28"/>
                <w:lang w:val="en-GB"/>
              </w:rPr>
            </w:pPr>
            <w:r w:rsidRPr="00920176">
              <w:rPr>
                <w:rFonts w:ascii="Wingdings 2" w:hAnsi="Wingdings 2"/>
                <w:b/>
                <w:color w:val="008000"/>
                <w:sz w:val="28"/>
                <w:szCs w:val="28"/>
                <w:lang w:val="en-GB"/>
              </w:rPr>
              <w:t></w:t>
            </w:r>
          </w:p>
        </w:tc>
        <w:tc>
          <w:tcPr>
            <w:tcW w:w="863" w:type="pct"/>
            <w:shd w:val="clear" w:color="auto" w:fill="D9D9D9" w:themeFill="background1" w:themeFillShade="D9"/>
            <w:vAlign w:val="center"/>
          </w:tcPr>
          <w:p w:rsidR="00AB05A1" w:rsidRPr="00920176" w:rsidRDefault="00AB05A1" w:rsidP="0086605D">
            <w:pPr>
              <w:jc w:val="center"/>
              <w:rPr>
                <w:rFonts w:ascii="Wingdings 2" w:hAnsi="Wingdings 2"/>
                <w:b/>
                <w:color w:val="008000"/>
                <w:sz w:val="28"/>
                <w:szCs w:val="28"/>
                <w:lang w:val="en-GB"/>
              </w:rPr>
            </w:pPr>
            <w:r w:rsidRPr="00920176">
              <w:rPr>
                <w:rFonts w:ascii="Wingdings 2" w:hAnsi="Wingdings 2"/>
                <w:b/>
                <w:color w:val="800000"/>
                <w:sz w:val="28"/>
                <w:szCs w:val="28"/>
                <w:lang w:val="en-GB"/>
              </w:rPr>
              <w:t></w:t>
            </w:r>
          </w:p>
        </w:tc>
        <w:tc>
          <w:tcPr>
            <w:tcW w:w="862" w:type="pct"/>
            <w:shd w:val="clear" w:color="auto" w:fill="D9D9D9" w:themeFill="background1" w:themeFillShade="D9"/>
            <w:vAlign w:val="center"/>
          </w:tcPr>
          <w:p w:rsidR="00AB05A1" w:rsidRPr="00920176" w:rsidRDefault="00AB05A1" w:rsidP="0086605D">
            <w:pPr>
              <w:jc w:val="center"/>
              <w:rPr>
                <w:rFonts w:ascii="Wingdings 2" w:hAnsi="Wingdings 2"/>
                <w:b/>
                <w:color w:val="008000"/>
                <w:sz w:val="28"/>
                <w:szCs w:val="28"/>
                <w:lang w:val="en-GB"/>
              </w:rPr>
            </w:pPr>
            <w:r w:rsidRPr="00920176">
              <w:rPr>
                <w:rFonts w:ascii="Wingdings 2" w:hAnsi="Wingdings 2"/>
                <w:b/>
                <w:color w:val="008000"/>
                <w:sz w:val="28"/>
                <w:szCs w:val="28"/>
                <w:lang w:val="en-GB"/>
              </w:rPr>
              <w:t></w:t>
            </w:r>
          </w:p>
        </w:tc>
        <w:tc>
          <w:tcPr>
            <w:tcW w:w="1097" w:type="pct"/>
            <w:shd w:val="clear" w:color="auto" w:fill="D9D9D9" w:themeFill="background1" w:themeFillShade="D9"/>
            <w:vAlign w:val="center"/>
          </w:tcPr>
          <w:p w:rsidR="00AB05A1" w:rsidRPr="00920176" w:rsidRDefault="00AB05A1" w:rsidP="0086605D">
            <w:pPr>
              <w:jc w:val="center"/>
              <w:rPr>
                <w:rFonts w:ascii="Wingdings 2" w:hAnsi="Wingdings 2"/>
                <w:b/>
                <w:color w:val="008000"/>
                <w:sz w:val="28"/>
                <w:szCs w:val="28"/>
                <w:lang w:val="en-GB"/>
              </w:rPr>
            </w:pPr>
            <w:r w:rsidRPr="00920176">
              <w:rPr>
                <w:rFonts w:ascii="Wingdings 2" w:hAnsi="Wingdings 2"/>
                <w:b/>
                <w:color w:val="008000"/>
                <w:sz w:val="28"/>
                <w:szCs w:val="28"/>
                <w:lang w:val="en-GB"/>
              </w:rPr>
              <w:t></w:t>
            </w:r>
          </w:p>
        </w:tc>
      </w:tr>
      <w:tr w:rsidR="00D371CA" w:rsidRPr="00920176" w:rsidTr="00D113B2">
        <w:trPr>
          <w:trHeight w:val="56"/>
        </w:trPr>
        <w:tc>
          <w:tcPr>
            <w:tcW w:w="1021" w:type="pct"/>
            <w:vAlign w:val="center"/>
          </w:tcPr>
          <w:p w:rsidR="00D130AD" w:rsidRPr="00920176" w:rsidRDefault="00D130AD" w:rsidP="0086605D">
            <w:pPr>
              <w:pStyle w:val="Tabellenkopf"/>
              <w:spacing w:before="0" w:after="0"/>
              <w:jc w:val="center"/>
              <w:rPr>
                <w:color w:val="000000"/>
                <w:sz w:val="20"/>
                <w:lang w:val="en-GB"/>
              </w:rPr>
            </w:pPr>
            <w:r w:rsidRPr="00920176">
              <w:rPr>
                <w:rFonts w:ascii="Calibri" w:hAnsi="Calibri" w:cs="Calibri"/>
                <w:b/>
                <w:color w:val="000000"/>
                <w:sz w:val="20"/>
                <w:lang w:val="en-GB"/>
              </w:rPr>
              <w:t>UK</w:t>
            </w:r>
          </w:p>
        </w:tc>
        <w:tc>
          <w:tcPr>
            <w:tcW w:w="1156" w:type="pct"/>
            <w:vAlign w:val="center"/>
          </w:tcPr>
          <w:p w:rsidR="00D130AD" w:rsidRPr="00920176" w:rsidRDefault="00D130AD" w:rsidP="003946FB">
            <w:pPr>
              <w:jc w:val="center"/>
              <w:rPr>
                <w:rFonts w:ascii="Wingdings 2" w:hAnsi="Wingdings 2"/>
                <w:b/>
                <w:color w:val="800000"/>
                <w:sz w:val="28"/>
                <w:szCs w:val="28"/>
                <w:lang w:val="en-GB"/>
              </w:rPr>
            </w:pPr>
            <w:r w:rsidRPr="00920176">
              <w:rPr>
                <w:rFonts w:ascii="Wingdings 2" w:hAnsi="Wingdings 2"/>
                <w:b/>
                <w:color w:val="800000"/>
                <w:sz w:val="28"/>
                <w:szCs w:val="28"/>
                <w:lang w:val="en-GB"/>
              </w:rPr>
              <w:t></w:t>
            </w:r>
          </w:p>
        </w:tc>
        <w:tc>
          <w:tcPr>
            <w:tcW w:w="863" w:type="pct"/>
            <w:vAlign w:val="center"/>
          </w:tcPr>
          <w:p w:rsidR="00D130AD" w:rsidRPr="00920176" w:rsidRDefault="00D130AD" w:rsidP="0086605D">
            <w:pPr>
              <w:jc w:val="center"/>
              <w:rPr>
                <w:rFonts w:ascii="Wingdings 2" w:hAnsi="Wingdings 2"/>
                <w:b/>
                <w:color w:val="800000"/>
                <w:sz w:val="28"/>
                <w:szCs w:val="28"/>
                <w:lang w:val="en-GB"/>
              </w:rPr>
            </w:pPr>
            <w:r w:rsidRPr="00920176">
              <w:rPr>
                <w:rFonts w:ascii="Wingdings 2" w:hAnsi="Wingdings 2"/>
                <w:b/>
                <w:color w:val="008000"/>
                <w:sz w:val="28"/>
                <w:szCs w:val="28"/>
                <w:lang w:val="en-GB"/>
              </w:rPr>
              <w:t></w:t>
            </w:r>
          </w:p>
        </w:tc>
        <w:tc>
          <w:tcPr>
            <w:tcW w:w="862" w:type="pct"/>
            <w:vAlign w:val="center"/>
          </w:tcPr>
          <w:p w:rsidR="00D130AD" w:rsidRPr="00920176" w:rsidRDefault="00D130AD" w:rsidP="0086605D">
            <w:pPr>
              <w:jc w:val="center"/>
              <w:rPr>
                <w:lang w:val="en-GB"/>
              </w:rPr>
            </w:pPr>
            <w:r w:rsidRPr="00920176">
              <w:rPr>
                <w:rFonts w:ascii="Wingdings 2" w:hAnsi="Wingdings 2"/>
                <w:b/>
                <w:color w:val="800000"/>
                <w:sz w:val="28"/>
                <w:szCs w:val="28"/>
                <w:lang w:val="en-GB"/>
              </w:rPr>
              <w:t></w:t>
            </w:r>
          </w:p>
        </w:tc>
        <w:tc>
          <w:tcPr>
            <w:tcW w:w="1097" w:type="pct"/>
            <w:vAlign w:val="center"/>
          </w:tcPr>
          <w:p w:rsidR="00D130AD" w:rsidRPr="00296817" w:rsidRDefault="00D130AD" w:rsidP="0086605D">
            <w:pPr>
              <w:jc w:val="center"/>
              <w:rPr>
                <w:rFonts w:ascii="Calibri" w:hAnsi="Calibri" w:cs="Calibri"/>
                <w:i/>
                <w:sz w:val="18"/>
                <w:szCs w:val="18"/>
                <w:lang w:val="en-GB"/>
              </w:rPr>
            </w:pPr>
            <w:r w:rsidRPr="00920176">
              <w:rPr>
                <w:rFonts w:ascii="Wingdings 2" w:hAnsi="Wingdings 2"/>
                <w:b/>
                <w:color w:val="800000"/>
                <w:sz w:val="28"/>
                <w:szCs w:val="28"/>
                <w:lang w:val="en-GB"/>
              </w:rPr>
              <w:t></w:t>
            </w:r>
            <w:r w:rsidRPr="00920176">
              <w:rPr>
                <w:rFonts w:ascii="Calibri" w:hAnsi="Calibri" w:cs="Calibri"/>
                <w:i/>
                <w:color w:val="FF9900"/>
                <w:sz w:val="18"/>
                <w:szCs w:val="18"/>
                <w:lang w:val="en-GB"/>
              </w:rPr>
              <w:t xml:space="preserve"> </w:t>
            </w:r>
            <w:r w:rsidR="00296817" w:rsidRPr="008949E3">
              <w:rPr>
                <w:rStyle w:val="Appelnotedebasdep"/>
                <w:rFonts w:asciiTheme="minorHAnsi" w:hAnsiTheme="minorHAnsi"/>
                <w:b/>
                <w:sz w:val="20"/>
                <w:szCs w:val="20"/>
                <w:lang w:val="en-GB"/>
              </w:rPr>
              <w:footnoteReference w:id="56"/>
            </w:r>
          </w:p>
        </w:tc>
      </w:tr>
    </w:tbl>
    <w:p w:rsidR="001E3837" w:rsidRPr="00920176" w:rsidRDefault="00F909BD" w:rsidP="00B94DB2">
      <w:pPr>
        <w:autoSpaceDE w:val="0"/>
        <w:autoSpaceDN w:val="0"/>
        <w:adjustRightInd w:val="0"/>
        <w:jc w:val="both"/>
        <w:rPr>
          <w:rFonts w:asciiTheme="minorHAnsi" w:hAnsiTheme="minorHAnsi" w:cs="Calibri"/>
          <w:sz w:val="24"/>
          <w:szCs w:val="24"/>
          <w:lang w:val="en-GB"/>
        </w:rPr>
      </w:pPr>
      <w:r w:rsidRPr="00920176">
        <w:rPr>
          <w:rFonts w:asciiTheme="minorHAnsi" w:hAnsiTheme="minorHAnsi" w:cs="Calibri"/>
          <w:lang w:val="en-GB"/>
        </w:rPr>
        <w:tab/>
      </w:r>
      <w:bookmarkStart w:id="10" w:name=""/>
      <w:bookmarkEnd w:id="10"/>
    </w:p>
    <w:p w:rsidR="001E3837" w:rsidRPr="00920176" w:rsidRDefault="000E2394" w:rsidP="00603222">
      <w:pPr>
        <w:autoSpaceDE w:val="0"/>
        <w:autoSpaceDN w:val="0"/>
        <w:adjustRightInd w:val="0"/>
        <w:spacing w:line="276" w:lineRule="auto"/>
        <w:jc w:val="both"/>
        <w:rPr>
          <w:rFonts w:asciiTheme="minorHAnsi" w:hAnsiTheme="minorHAnsi"/>
          <w:sz w:val="22"/>
          <w:szCs w:val="22"/>
          <w:lang w:val="en-GB"/>
        </w:rPr>
      </w:pPr>
      <w:r w:rsidRPr="00920176">
        <w:rPr>
          <w:rFonts w:asciiTheme="minorHAnsi" w:hAnsiTheme="minorHAnsi"/>
          <w:sz w:val="22"/>
          <w:szCs w:val="22"/>
          <w:lang w:val="en-GB"/>
        </w:rPr>
        <w:t xml:space="preserve">The </w:t>
      </w:r>
      <w:r w:rsidR="001E3837" w:rsidRPr="00920176">
        <w:rPr>
          <w:rFonts w:asciiTheme="minorHAnsi" w:hAnsiTheme="minorHAnsi"/>
          <w:sz w:val="22"/>
          <w:szCs w:val="22"/>
          <w:lang w:val="en-GB"/>
        </w:rPr>
        <w:t xml:space="preserve">review of charging approaches highlights that Member </w:t>
      </w:r>
      <w:r w:rsidR="00192C9B" w:rsidRPr="00920176">
        <w:rPr>
          <w:rFonts w:asciiTheme="minorHAnsi" w:hAnsiTheme="minorHAnsi"/>
          <w:sz w:val="22"/>
          <w:szCs w:val="22"/>
          <w:lang w:val="en-GB"/>
        </w:rPr>
        <w:t>S</w:t>
      </w:r>
      <w:r w:rsidR="001E3837" w:rsidRPr="00920176">
        <w:rPr>
          <w:rFonts w:asciiTheme="minorHAnsi" w:hAnsiTheme="minorHAnsi"/>
          <w:sz w:val="22"/>
          <w:szCs w:val="22"/>
          <w:lang w:val="en-GB"/>
        </w:rPr>
        <w:t xml:space="preserve">tates apply different pricing components to address additional charging possibilities. This may be a consequence of different political preferences, structural differences, different traffic patterns as well as different approaches to regulating the broader transportation sector. It is worth noting that </w:t>
      </w:r>
      <w:r w:rsidR="0011196E" w:rsidRPr="00920176">
        <w:rPr>
          <w:rFonts w:asciiTheme="minorHAnsi" w:hAnsiTheme="minorHAnsi"/>
          <w:sz w:val="22"/>
          <w:szCs w:val="22"/>
          <w:lang w:val="en-GB"/>
        </w:rPr>
        <w:t xml:space="preserve">the environmental charge is </w:t>
      </w:r>
      <w:r w:rsidR="00FD3FA0" w:rsidRPr="00920176">
        <w:rPr>
          <w:rFonts w:asciiTheme="minorHAnsi" w:hAnsiTheme="minorHAnsi"/>
          <w:sz w:val="22"/>
          <w:szCs w:val="22"/>
          <w:lang w:val="en-GB"/>
        </w:rPr>
        <w:t xml:space="preserve">only </w:t>
      </w:r>
      <w:r w:rsidR="0011196E" w:rsidRPr="00920176">
        <w:rPr>
          <w:rFonts w:asciiTheme="minorHAnsi" w:hAnsiTheme="minorHAnsi"/>
          <w:sz w:val="22"/>
          <w:szCs w:val="22"/>
          <w:lang w:val="en-GB"/>
        </w:rPr>
        <w:t xml:space="preserve">applied in </w:t>
      </w:r>
      <w:r w:rsidR="00FD3FA0" w:rsidRPr="00920176">
        <w:rPr>
          <w:rFonts w:asciiTheme="minorHAnsi" w:hAnsiTheme="minorHAnsi"/>
          <w:sz w:val="22"/>
          <w:szCs w:val="22"/>
          <w:lang w:val="en-GB"/>
        </w:rPr>
        <w:t>few</w:t>
      </w:r>
      <w:r w:rsidR="00641986" w:rsidRPr="00920176">
        <w:rPr>
          <w:rFonts w:asciiTheme="minorHAnsi" w:hAnsiTheme="minorHAnsi"/>
          <w:sz w:val="22"/>
          <w:szCs w:val="22"/>
          <w:lang w:val="en-GB"/>
        </w:rPr>
        <w:t xml:space="preserve"> </w:t>
      </w:r>
      <w:r w:rsidR="0011196E" w:rsidRPr="00920176">
        <w:rPr>
          <w:rFonts w:asciiTheme="minorHAnsi" w:hAnsiTheme="minorHAnsi"/>
          <w:sz w:val="22"/>
          <w:szCs w:val="22"/>
          <w:lang w:val="en-GB"/>
        </w:rPr>
        <w:t>countries (</w:t>
      </w:r>
      <w:r w:rsidR="00FD3FA0" w:rsidRPr="00920176">
        <w:rPr>
          <w:rFonts w:asciiTheme="minorHAnsi" w:hAnsiTheme="minorHAnsi"/>
          <w:i/>
          <w:sz w:val="22"/>
          <w:szCs w:val="22"/>
          <w:lang w:val="en-GB"/>
        </w:rPr>
        <w:t xml:space="preserve">e.g. </w:t>
      </w:r>
      <w:r w:rsidR="00397281">
        <w:rPr>
          <w:rFonts w:asciiTheme="minorHAnsi" w:hAnsiTheme="minorHAnsi"/>
          <w:i/>
          <w:sz w:val="22"/>
          <w:szCs w:val="22"/>
          <w:lang w:val="en-GB"/>
        </w:rPr>
        <w:t xml:space="preserve">Denmark, </w:t>
      </w:r>
      <w:r w:rsidR="00641986" w:rsidRPr="00920176">
        <w:rPr>
          <w:rFonts w:asciiTheme="minorHAnsi" w:hAnsiTheme="minorHAnsi"/>
          <w:sz w:val="22"/>
          <w:szCs w:val="22"/>
          <w:lang w:val="en-GB"/>
        </w:rPr>
        <w:t>Germany,</w:t>
      </w:r>
      <w:r w:rsidR="00397281">
        <w:rPr>
          <w:rFonts w:asciiTheme="minorHAnsi" w:hAnsiTheme="minorHAnsi"/>
          <w:sz w:val="22"/>
          <w:szCs w:val="22"/>
          <w:lang w:val="en-GB"/>
        </w:rPr>
        <w:t xml:space="preserve"> Italy,</w:t>
      </w:r>
      <w:r w:rsidR="00641986" w:rsidRPr="00920176">
        <w:rPr>
          <w:rFonts w:asciiTheme="minorHAnsi" w:hAnsiTheme="minorHAnsi"/>
          <w:sz w:val="22"/>
          <w:szCs w:val="22"/>
          <w:lang w:val="en-GB"/>
        </w:rPr>
        <w:t xml:space="preserve"> Poland, </w:t>
      </w:r>
      <w:r w:rsidR="00397281">
        <w:rPr>
          <w:rFonts w:asciiTheme="minorHAnsi" w:hAnsiTheme="minorHAnsi"/>
          <w:sz w:val="22"/>
          <w:szCs w:val="22"/>
          <w:lang w:val="en-GB"/>
        </w:rPr>
        <w:t xml:space="preserve">Switzerland </w:t>
      </w:r>
      <w:r w:rsidR="00FD3FA0" w:rsidRPr="00920176">
        <w:rPr>
          <w:rFonts w:asciiTheme="minorHAnsi" w:hAnsiTheme="minorHAnsi"/>
          <w:sz w:val="22"/>
          <w:szCs w:val="22"/>
          <w:lang w:val="en-GB"/>
        </w:rPr>
        <w:t>and Sweden)</w:t>
      </w:r>
      <w:r w:rsidR="000D77BF">
        <w:rPr>
          <w:rFonts w:asciiTheme="minorHAnsi" w:hAnsiTheme="minorHAnsi"/>
          <w:sz w:val="22"/>
          <w:szCs w:val="22"/>
          <w:lang w:val="en-GB"/>
        </w:rPr>
        <w:t>.</w:t>
      </w:r>
    </w:p>
    <w:p w:rsidR="00603222" w:rsidRPr="00920176" w:rsidRDefault="00603222" w:rsidP="00603222">
      <w:pPr>
        <w:autoSpaceDE w:val="0"/>
        <w:autoSpaceDN w:val="0"/>
        <w:adjustRightInd w:val="0"/>
        <w:spacing w:line="276" w:lineRule="auto"/>
        <w:jc w:val="both"/>
        <w:rPr>
          <w:rFonts w:asciiTheme="minorHAnsi" w:hAnsiTheme="minorHAnsi"/>
          <w:sz w:val="22"/>
          <w:szCs w:val="22"/>
          <w:lang w:val="en-GB"/>
        </w:rPr>
      </w:pPr>
    </w:p>
    <w:p w:rsidR="004F0458" w:rsidRPr="00920176" w:rsidRDefault="004F0458" w:rsidP="000C7C39">
      <w:pPr>
        <w:spacing w:line="276" w:lineRule="auto"/>
        <w:jc w:val="both"/>
        <w:rPr>
          <w:rFonts w:asciiTheme="minorHAnsi" w:hAnsiTheme="minorHAnsi"/>
          <w:sz w:val="22"/>
          <w:szCs w:val="22"/>
          <w:lang w:val="en-GB"/>
        </w:rPr>
      </w:pPr>
      <w:r w:rsidRPr="00920176">
        <w:rPr>
          <w:rFonts w:asciiTheme="minorHAnsi" w:hAnsiTheme="minorHAnsi"/>
          <w:sz w:val="22"/>
          <w:szCs w:val="22"/>
          <w:lang w:val="en-GB"/>
        </w:rPr>
        <w:t>The table below provide</w:t>
      </w:r>
      <w:r w:rsidR="00E86812" w:rsidRPr="00920176">
        <w:rPr>
          <w:rFonts w:asciiTheme="minorHAnsi" w:hAnsiTheme="minorHAnsi"/>
          <w:sz w:val="22"/>
          <w:szCs w:val="22"/>
          <w:lang w:val="en-GB"/>
        </w:rPr>
        <w:t>s</w:t>
      </w:r>
      <w:r w:rsidRPr="00920176">
        <w:rPr>
          <w:rFonts w:asciiTheme="minorHAnsi" w:hAnsiTheme="minorHAnsi"/>
          <w:sz w:val="22"/>
          <w:szCs w:val="22"/>
          <w:lang w:val="en-GB"/>
        </w:rPr>
        <w:t xml:space="preserve"> information on the </w:t>
      </w:r>
      <w:r w:rsidR="00BD280E" w:rsidRPr="00920176">
        <w:rPr>
          <w:rFonts w:asciiTheme="minorHAnsi" w:hAnsiTheme="minorHAnsi"/>
          <w:sz w:val="22"/>
          <w:szCs w:val="22"/>
          <w:lang w:val="en-GB"/>
        </w:rPr>
        <w:t xml:space="preserve">main </w:t>
      </w:r>
      <w:r w:rsidRPr="00920176">
        <w:rPr>
          <w:rFonts w:asciiTheme="minorHAnsi" w:hAnsiTheme="minorHAnsi"/>
          <w:sz w:val="22"/>
          <w:szCs w:val="22"/>
          <w:lang w:val="en-GB"/>
        </w:rPr>
        <w:t xml:space="preserve">charging units used by Member </w:t>
      </w:r>
      <w:r w:rsidR="000D0F1D" w:rsidRPr="00920176">
        <w:rPr>
          <w:rFonts w:asciiTheme="minorHAnsi" w:hAnsiTheme="minorHAnsi"/>
          <w:sz w:val="22"/>
          <w:szCs w:val="22"/>
          <w:lang w:val="en-GB"/>
        </w:rPr>
        <w:t>S</w:t>
      </w:r>
      <w:r w:rsidRPr="00920176">
        <w:rPr>
          <w:rFonts w:asciiTheme="minorHAnsi" w:hAnsiTheme="minorHAnsi"/>
          <w:sz w:val="22"/>
          <w:szCs w:val="22"/>
          <w:lang w:val="en-GB"/>
        </w:rPr>
        <w:t>tates</w:t>
      </w:r>
      <w:r w:rsidR="00FD3FA0" w:rsidRPr="00920176">
        <w:rPr>
          <w:rFonts w:asciiTheme="minorHAnsi" w:hAnsiTheme="minorHAnsi"/>
          <w:sz w:val="22"/>
          <w:szCs w:val="22"/>
          <w:lang w:val="en-GB"/>
        </w:rPr>
        <w:t>. It highlights that the train.km is the most commonly used charging unit (few Members States currently use the tonne.km).</w:t>
      </w:r>
    </w:p>
    <w:p w:rsidR="00603222" w:rsidRPr="00920176" w:rsidRDefault="00B26AF2" w:rsidP="00762AF3">
      <w:pPr>
        <w:rPr>
          <w:rFonts w:asciiTheme="minorHAnsi" w:hAnsiTheme="minorHAnsi"/>
          <w:sz w:val="22"/>
          <w:szCs w:val="22"/>
          <w:lang w:val="en-GB"/>
        </w:rPr>
      </w:pPr>
      <w:r>
        <w:rPr>
          <w:rFonts w:asciiTheme="minorHAnsi" w:hAnsiTheme="minorHAnsi"/>
          <w:sz w:val="22"/>
          <w:szCs w:val="22"/>
          <w:lang w:val="en-GB"/>
        </w:rPr>
        <w:br w:type="page"/>
      </w:r>
    </w:p>
    <w:tbl>
      <w:tblPr>
        <w:tblpPr w:leftFromText="141" w:rightFromText="141" w:vertAnchor="text" w:horzAnchor="margin" w:tblpXSpec="center" w:tblpY="144"/>
        <w:tblW w:w="3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5278"/>
      </w:tblGrid>
      <w:tr w:rsidR="004F0458" w:rsidRPr="00920176" w:rsidTr="005575E0">
        <w:trPr>
          <w:trHeight w:val="86"/>
          <w:tblHeader/>
        </w:trPr>
        <w:tc>
          <w:tcPr>
            <w:tcW w:w="1201" w:type="pct"/>
            <w:shd w:val="clear" w:color="808080" w:fill="808080"/>
            <w:vAlign w:val="center"/>
          </w:tcPr>
          <w:p w:rsidR="004F0458" w:rsidRPr="00920176" w:rsidRDefault="004F0458" w:rsidP="003946FB">
            <w:pPr>
              <w:pStyle w:val="Titre31"/>
              <w:jc w:val="center"/>
              <w:rPr>
                <w:rFonts w:ascii="Calibri" w:hAnsi="Calibri" w:cs="Calibri"/>
                <w:b/>
                <w:color w:val="FFFFFF"/>
                <w:lang w:val="en-GB"/>
              </w:rPr>
            </w:pPr>
            <w:r w:rsidRPr="00920176">
              <w:rPr>
                <w:rFonts w:ascii="Calibri" w:hAnsi="Calibri" w:cs="Calibri"/>
                <w:b/>
                <w:color w:val="FFFFFF"/>
                <w:sz w:val="20"/>
                <w:lang w:val="en-GB"/>
              </w:rPr>
              <w:lastRenderedPageBreak/>
              <w:t>Country</w:t>
            </w:r>
          </w:p>
        </w:tc>
        <w:tc>
          <w:tcPr>
            <w:tcW w:w="3799" w:type="pct"/>
            <w:shd w:val="clear" w:color="808080" w:fill="808080"/>
            <w:vAlign w:val="center"/>
          </w:tcPr>
          <w:p w:rsidR="004F0458" w:rsidRPr="00920176" w:rsidRDefault="00BD280E" w:rsidP="0086605D">
            <w:pPr>
              <w:pStyle w:val="Tabellentextrechts"/>
              <w:ind w:right="0"/>
              <w:jc w:val="center"/>
              <w:rPr>
                <w:rFonts w:ascii="Calibri" w:hAnsi="Calibri" w:cs="Calibri"/>
                <w:b/>
                <w:color w:val="FFFFFF"/>
                <w:sz w:val="18"/>
                <w:szCs w:val="18"/>
                <w:lang w:val="en-GB"/>
              </w:rPr>
            </w:pPr>
            <w:r w:rsidRPr="00920176">
              <w:rPr>
                <w:rFonts w:ascii="Calibri" w:hAnsi="Calibri" w:cs="Calibri"/>
                <w:b/>
                <w:color w:val="FFFFFF"/>
                <w:sz w:val="18"/>
                <w:szCs w:val="18"/>
                <w:lang w:val="en-GB"/>
              </w:rPr>
              <w:t>Main c</w:t>
            </w:r>
            <w:r w:rsidR="004F0458" w:rsidRPr="00920176">
              <w:rPr>
                <w:rFonts w:ascii="Calibri" w:hAnsi="Calibri" w:cs="Calibri"/>
                <w:b/>
                <w:color w:val="FFFFFF"/>
                <w:sz w:val="18"/>
                <w:szCs w:val="18"/>
                <w:lang w:val="en-GB"/>
              </w:rPr>
              <w:t>harging units</w:t>
            </w:r>
          </w:p>
        </w:tc>
      </w:tr>
      <w:tr w:rsidR="004F0458" w:rsidRPr="00C54CEB" w:rsidTr="0086605D">
        <w:trPr>
          <w:trHeight w:val="56"/>
        </w:trPr>
        <w:tc>
          <w:tcPr>
            <w:tcW w:w="1201" w:type="pct"/>
            <w:vAlign w:val="center"/>
          </w:tcPr>
          <w:p w:rsidR="004F0458" w:rsidRPr="00920176" w:rsidRDefault="004F0458" w:rsidP="003946FB">
            <w:pPr>
              <w:pStyle w:val="Tabellenkopf"/>
              <w:jc w:val="center"/>
              <w:rPr>
                <w:rFonts w:ascii="Calibri" w:hAnsi="Calibri" w:cs="Calibri"/>
                <w:b/>
                <w:sz w:val="20"/>
                <w:lang w:val="en-GB"/>
              </w:rPr>
            </w:pPr>
            <w:r w:rsidRPr="00920176">
              <w:rPr>
                <w:rFonts w:ascii="Calibri" w:hAnsi="Calibri" w:cs="Calibri"/>
                <w:b/>
                <w:sz w:val="20"/>
                <w:lang w:val="en-GB"/>
              </w:rPr>
              <w:t xml:space="preserve">Austria </w:t>
            </w:r>
          </w:p>
        </w:tc>
        <w:tc>
          <w:tcPr>
            <w:tcW w:w="3799" w:type="pct"/>
            <w:vAlign w:val="center"/>
          </w:tcPr>
          <w:p w:rsidR="004F0458" w:rsidRPr="00920176" w:rsidRDefault="00603222" w:rsidP="0086605D">
            <w:pPr>
              <w:jc w:val="center"/>
              <w:rPr>
                <w:rFonts w:ascii="Wingdings 2" w:hAnsi="Wingdings 2"/>
                <w:b/>
                <w:color w:val="008000"/>
                <w:sz w:val="20"/>
                <w:szCs w:val="20"/>
                <w:lang w:val="en-GB"/>
              </w:rPr>
            </w:pPr>
            <w:r w:rsidRPr="00920176">
              <w:rPr>
                <w:rFonts w:asciiTheme="minorHAnsi" w:hAnsiTheme="minorHAnsi"/>
                <w:sz w:val="20"/>
                <w:szCs w:val="20"/>
                <w:lang w:val="en-GB"/>
              </w:rPr>
              <w:t>T</w:t>
            </w:r>
            <w:r w:rsidR="00FC2A8E" w:rsidRPr="00920176">
              <w:rPr>
                <w:rFonts w:asciiTheme="minorHAnsi" w:hAnsiTheme="minorHAnsi"/>
                <w:sz w:val="20"/>
                <w:szCs w:val="20"/>
                <w:lang w:val="en-GB"/>
              </w:rPr>
              <w:t>rain.km and gross-tonne.km</w:t>
            </w:r>
          </w:p>
        </w:tc>
      </w:tr>
      <w:tr w:rsidR="00AC14CD" w:rsidRPr="00920176" w:rsidTr="0086605D">
        <w:trPr>
          <w:trHeight w:val="56"/>
        </w:trPr>
        <w:tc>
          <w:tcPr>
            <w:tcW w:w="1201" w:type="pct"/>
            <w:shd w:val="clear" w:color="auto" w:fill="D9D9D9" w:themeFill="background1" w:themeFillShade="D9"/>
            <w:vAlign w:val="center"/>
          </w:tcPr>
          <w:p w:rsidR="00AC14CD" w:rsidRPr="00920176" w:rsidRDefault="00AC14CD" w:rsidP="003946FB">
            <w:pPr>
              <w:pStyle w:val="Tabellenkopf"/>
              <w:jc w:val="center"/>
              <w:rPr>
                <w:rFonts w:ascii="Calibri" w:hAnsi="Calibri" w:cs="Calibri"/>
                <w:b/>
                <w:sz w:val="20"/>
                <w:lang w:val="en-GB"/>
              </w:rPr>
            </w:pPr>
            <w:r>
              <w:rPr>
                <w:rFonts w:ascii="Calibri" w:hAnsi="Calibri" w:cs="Calibri"/>
                <w:b/>
                <w:sz w:val="20"/>
                <w:lang w:val="en-GB"/>
              </w:rPr>
              <w:t>Belgium</w:t>
            </w:r>
          </w:p>
        </w:tc>
        <w:tc>
          <w:tcPr>
            <w:tcW w:w="3799" w:type="pct"/>
            <w:shd w:val="clear" w:color="auto" w:fill="D9D9D9" w:themeFill="background1" w:themeFillShade="D9"/>
            <w:vAlign w:val="center"/>
          </w:tcPr>
          <w:p w:rsidR="00AC14CD" w:rsidRPr="00920176" w:rsidRDefault="00AC14CD" w:rsidP="0086605D">
            <w:pPr>
              <w:jc w:val="center"/>
              <w:rPr>
                <w:rFonts w:asciiTheme="minorHAnsi" w:hAnsiTheme="minorHAnsi"/>
                <w:sz w:val="20"/>
                <w:szCs w:val="20"/>
                <w:lang w:val="en-GB"/>
              </w:rPr>
            </w:pPr>
            <w:r>
              <w:rPr>
                <w:rFonts w:asciiTheme="minorHAnsi" w:hAnsiTheme="minorHAnsi"/>
                <w:sz w:val="20"/>
                <w:szCs w:val="20"/>
                <w:lang w:val="en-GB"/>
              </w:rPr>
              <w:t>Train.km</w:t>
            </w:r>
          </w:p>
        </w:tc>
      </w:tr>
      <w:tr w:rsidR="00C275A9" w:rsidRPr="00C54CEB" w:rsidTr="005575E0">
        <w:trPr>
          <w:trHeight w:val="291"/>
        </w:trPr>
        <w:tc>
          <w:tcPr>
            <w:tcW w:w="1201" w:type="pct"/>
            <w:vAlign w:val="center"/>
          </w:tcPr>
          <w:p w:rsidR="00C275A9" w:rsidRPr="00920176" w:rsidRDefault="00C275A9" w:rsidP="003946FB">
            <w:pPr>
              <w:pStyle w:val="Tabellenkopf"/>
              <w:jc w:val="center"/>
              <w:rPr>
                <w:rFonts w:ascii="Calibri" w:hAnsi="Calibri" w:cs="Calibri"/>
                <w:b/>
                <w:sz w:val="20"/>
                <w:lang w:val="en-GB"/>
              </w:rPr>
            </w:pPr>
            <w:r>
              <w:rPr>
                <w:rFonts w:ascii="Calibri" w:hAnsi="Calibri" w:cs="Calibri"/>
                <w:b/>
                <w:sz w:val="20"/>
                <w:lang w:val="en-GB"/>
              </w:rPr>
              <w:t>Bulgaria</w:t>
            </w:r>
          </w:p>
        </w:tc>
        <w:tc>
          <w:tcPr>
            <w:tcW w:w="3799" w:type="pct"/>
            <w:vAlign w:val="center"/>
          </w:tcPr>
          <w:p w:rsidR="00C275A9" w:rsidRPr="00920176" w:rsidRDefault="00C275A9" w:rsidP="0086605D">
            <w:pPr>
              <w:jc w:val="center"/>
              <w:rPr>
                <w:rFonts w:ascii="Wingdings 2" w:hAnsi="Wingdings 2"/>
                <w:b/>
                <w:color w:val="008000"/>
                <w:sz w:val="20"/>
                <w:szCs w:val="20"/>
                <w:lang w:val="en-GB"/>
              </w:rPr>
            </w:pPr>
            <w:r w:rsidRPr="00920176">
              <w:rPr>
                <w:rFonts w:asciiTheme="minorHAnsi" w:hAnsiTheme="minorHAnsi"/>
                <w:sz w:val="20"/>
                <w:szCs w:val="20"/>
                <w:lang w:val="en-GB"/>
              </w:rPr>
              <w:t>Train.km and gross-tonne.km</w:t>
            </w:r>
          </w:p>
        </w:tc>
      </w:tr>
      <w:tr w:rsidR="00C275A9" w:rsidRPr="00920176" w:rsidTr="0086605D">
        <w:trPr>
          <w:trHeight w:val="367"/>
        </w:trPr>
        <w:tc>
          <w:tcPr>
            <w:tcW w:w="1201" w:type="pct"/>
            <w:shd w:val="clear" w:color="auto" w:fill="D9D9D9" w:themeFill="background1" w:themeFillShade="D9"/>
            <w:vAlign w:val="center"/>
          </w:tcPr>
          <w:p w:rsidR="00C275A9" w:rsidRPr="00920176" w:rsidRDefault="00C275A9" w:rsidP="003946FB">
            <w:pPr>
              <w:pStyle w:val="Tabellenkopf"/>
              <w:jc w:val="center"/>
              <w:rPr>
                <w:rFonts w:ascii="Calibri" w:hAnsi="Calibri" w:cs="Calibri"/>
                <w:b/>
                <w:color w:val="000000"/>
                <w:sz w:val="20"/>
                <w:lang w:val="en-GB"/>
              </w:rPr>
            </w:pPr>
            <w:r w:rsidRPr="00920176">
              <w:rPr>
                <w:rFonts w:ascii="Calibri" w:hAnsi="Calibri" w:cs="Calibri"/>
                <w:b/>
                <w:color w:val="000000"/>
                <w:sz w:val="20"/>
                <w:lang w:val="en-GB"/>
              </w:rPr>
              <w:t xml:space="preserve">Croatia </w:t>
            </w:r>
          </w:p>
        </w:tc>
        <w:tc>
          <w:tcPr>
            <w:tcW w:w="3799" w:type="pct"/>
            <w:shd w:val="clear" w:color="auto" w:fill="D9D9D9" w:themeFill="background1" w:themeFillShade="D9"/>
            <w:vAlign w:val="center"/>
          </w:tcPr>
          <w:p w:rsidR="00C275A9" w:rsidRPr="00920176" w:rsidRDefault="00C275A9" w:rsidP="0086605D">
            <w:pPr>
              <w:pStyle w:val="Titre31"/>
              <w:jc w:val="center"/>
              <w:rPr>
                <w:rFonts w:ascii="Calibri" w:hAnsi="Calibri" w:cs="Calibri"/>
                <w:sz w:val="20"/>
                <w:szCs w:val="20"/>
                <w:lang w:val="en-GB"/>
              </w:rPr>
            </w:pPr>
            <w:r w:rsidRPr="00920176">
              <w:rPr>
                <w:rFonts w:ascii="Calibri" w:hAnsi="Calibri" w:cs="Calibri"/>
                <w:sz w:val="20"/>
                <w:szCs w:val="20"/>
                <w:lang w:val="en-GB"/>
              </w:rPr>
              <w:t>Train.km</w:t>
            </w:r>
          </w:p>
        </w:tc>
      </w:tr>
      <w:tr w:rsidR="00C275A9" w:rsidRPr="00C54CEB" w:rsidTr="005575E0">
        <w:trPr>
          <w:trHeight w:val="367"/>
        </w:trPr>
        <w:tc>
          <w:tcPr>
            <w:tcW w:w="1201" w:type="pct"/>
            <w:vAlign w:val="center"/>
          </w:tcPr>
          <w:p w:rsidR="00C275A9" w:rsidRPr="00920176" w:rsidRDefault="00C275A9" w:rsidP="003946FB">
            <w:pPr>
              <w:pStyle w:val="Tabellenkopf"/>
              <w:jc w:val="center"/>
              <w:rPr>
                <w:rFonts w:ascii="Calibri" w:hAnsi="Calibri" w:cs="Calibri"/>
                <w:b/>
                <w:sz w:val="20"/>
                <w:lang w:val="en-GB"/>
              </w:rPr>
            </w:pPr>
            <w:r w:rsidRPr="00920176">
              <w:rPr>
                <w:rFonts w:ascii="Calibri" w:hAnsi="Calibri" w:cs="Calibri"/>
                <w:b/>
                <w:sz w:val="20"/>
                <w:lang w:val="en-GB"/>
              </w:rPr>
              <w:t xml:space="preserve">Denmark </w:t>
            </w:r>
          </w:p>
        </w:tc>
        <w:tc>
          <w:tcPr>
            <w:tcW w:w="3799" w:type="pct"/>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 xml:space="preserve">Train.km and DKK/train </w:t>
            </w:r>
          </w:p>
        </w:tc>
      </w:tr>
      <w:tr w:rsidR="00C275A9" w:rsidRPr="00C54CEB" w:rsidTr="0086605D">
        <w:trPr>
          <w:trHeight w:val="367"/>
        </w:trPr>
        <w:tc>
          <w:tcPr>
            <w:tcW w:w="1201" w:type="pct"/>
            <w:shd w:val="clear" w:color="auto" w:fill="D9D9D9" w:themeFill="background1" w:themeFillShade="D9"/>
            <w:vAlign w:val="center"/>
          </w:tcPr>
          <w:p w:rsidR="00C275A9" w:rsidRPr="00920176" w:rsidRDefault="00C275A9" w:rsidP="003946FB">
            <w:pPr>
              <w:pStyle w:val="Tabellenkopf"/>
              <w:jc w:val="center"/>
              <w:rPr>
                <w:rFonts w:ascii="Calibri" w:hAnsi="Calibri" w:cs="Calibri"/>
                <w:b/>
                <w:sz w:val="20"/>
                <w:lang w:val="en-GB"/>
              </w:rPr>
            </w:pPr>
            <w:r>
              <w:rPr>
                <w:rFonts w:ascii="Calibri" w:hAnsi="Calibri" w:cs="Calibri"/>
                <w:b/>
                <w:sz w:val="20"/>
                <w:lang w:val="en-GB"/>
              </w:rPr>
              <w:t>Estonia</w:t>
            </w:r>
          </w:p>
        </w:tc>
        <w:tc>
          <w:tcPr>
            <w:tcW w:w="3799" w:type="pct"/>
            <w:shd w:val="clear" w:color="auto" w:fill="D9D9D9" w:themeFill="background1" w:themeFillShade="D9"/>
            <w:vAlign w:val="center"/>
          </w:tcPr>
          <w:p w:rsidR="00C275A9" w:rsidRPr="00920176" w:rsidRDefault="00C275A9" w:rsidP="0086605D">
            <w:pPr>
              <w:jc w:val="center"/>
              <w:rPr>
                <w:rFonts w:ascii="Wingdings 2" w:hAnsi="Wingdings 2"/>
                <w:b/>
                <w:color w:val="008000"/>
                <w:sz w:val="20"/>
                <w:szCs w:val="20"/>
                <w:lang w:val="en-GB"/>
              </w:rPr>
            </w:pPr>
            <w:r w:rsidRPr="00920176">
              <w:rPr>
                <w:rFonts w:asciiTheme="minorHAnsi" w:hAnsiTheme="minorHAnsi"/>
                <w:sz w:val="20"/>
                <w:szCs w:val="20"/>
                <w:lang w:val="en-GB"/>
              </w:rPr>
              <w:t>Train.km and gross-tonne.km</w:t>
            </w:r>
          </w:p>
        </w:tc>
      </w:tr>
      <w:tr w:rsidR="00C275A9" w:rsidRPr="00920176" w:rsidTr="005575E0">
        <w:trPr>
          <w:trHeight w:val="367"/>
        </w:trPr>
        <w:tc>
          <w:tcPr>
            <w:tcW w:w="1201" w:type="pct"/>
            <w:vAlign w:val="center"/>
          </w:tcPr>
          <w:p w:rsidR="00C275A9" w:rsidRPr="00920176" w:rsidRDefault="00C275A9" w:rsidP="003946FB">
            <w:pPr>
              <w:pStyle w:val="Tabellenkopf"/>
              <w:jc w:val="center"/>
              <w:rPr>
                <w:rFonts w:ascii="Calibri" w:hAnsi="Calibri" w:cs="Calibri"/>
                <w:b/>
                <w:sz w:val="20"/>
                <w:lang w:val="en-GB"/>
              </w:rPr>
            </w:pPr>
            <w:r w:rsidRPr="00920176">
              <w:rPr>
                <w:rFonts w:ascii="Calibri" w:hAnsi="Calibri" w:cs="Calibri"/>
                <w:b/>
                <w:sz w:val="20"/>
                <w:lang w:val="en-GB"/>
              </w:rPr>
              <w:t xml:space="preserve">Finland </w:t>
            </w:r>
          </w:p>
        </w:tc>
        <w:tc>
          <w:tcPr>
            <w:tcW w:w="3799" w:type="pct"/>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Gross-tonne.km</w:t>
            </w:r>
          </w:p>
        </w:tc>
      </w:tr>
      <w:tr w:rsidR="00C275A9" w:rsidRPr="00C54CEB" w:rsidTr="0086605D">
        <w:trPr>
          <w:trHeight w:val="367"/>
        </w:trPr>
        <w:tc>
          <w:tcPr>
            <w:tcW w:w="1201" w:type="pct"/>
            <w:shd w:val="clear" w:color="auto" w:fill="D9D9D9" w:themeFill="background1" w:themeFillShade="D9"/>
            <w:vAlign w:val="center"/>
          </w:tcPr>
          <w:p w:rsidR="00C275A9" w:rsidRPr="00920176" w:rsidRDefault="00C275A9" w:rsidP="003946FB">
            <w:pPr>
              <w:pStyle w:val="Tabellenkopf"/>
              <w:jc w:val="center"/>
              <w:rPr>
                <w:rFonts w:ascii="Calibri" w:hAnsi="Calibri" w:cs="Calibri"/>
                <w:b/>
                <w:sz w:val="20"/>
                <w:lang w:val="en-GB"/>
              </w:rPr>
            </w:pPr>
            <w:r w:rsidRPr="00920176">
              <w:rPr>
                <w:rFonts w:ascii="Calibri" w:hAnsi="Calibri" w:cs="Calibri"/>
                <w:b/>
                <w:sz w:val="20"/>
                <w:lang w:val="en-GB"/>
              </w:rPr>
              <w:t>France</w:t>
            </w:r>
          </w:p>
        </w:tc>
        <w:tc>
          <w:tcPr>
            <w:tcW w:w="3799" w:type="pct"/>
            <w:shd w:val="clear" w:color="auto" w:fill="D9D9D9" w:themeFill="background1" w:themeFillShade="D9"/>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 xml:space="preserve">Path.km, train.km and €/year </w:t>
            </w:r>
          </w:p>
        </w:tc>
      </w:tr>
      <w:tr w:rsidR="00C275A9" w:rsidRPr="00920176" w:rsidTr="005575E0">
        <w:trPr>
          <w:trHeight w:val="549"/>
        </w:trPr>
        <w:tc>
          <w:tcPr>
            <w:tcW w:w="1201" w:type="pct"/>
            <w:vAlign w:val="center"/>
          </w:tcPr>
          <w:p w:rsidR="00C275A9" w:rsidRPr="00920176" w:rsidRDefault="00C275A9" w:rsidP="003946FB">
            <w:pPr>
              <w:pStyle w:val="Tabellenkopf"/>
              <w:jc w:val="center"/>
              <w:rPr>
                <w:rFonts w:ascii="Calibri" w:hAnsi="Calibri" w:cs="Calibri"/>
                <w:b/>
                <w:sz w:val="20"/>
                <w:lang w:val="en-GB"/>
              </w:rPr>
            </w:pPr>
            <w:r w:rsidRPr="00920176">
              <w:rPr>
                <w:rFonts w:ascii="Calibri" w:hAnsi="Calibri" w:cs="Calibri"/>
                <w:b/>
                <w:sz w:val="20"/>
                <w:lang w:val="en-GB"/>
              </w:rPr>
              <w:t>Germany</w:t>
            </w:r>
          </w:p>
        </w:tc>
        <w:tc>
          <w:tcPr>
            <w:tcW w:w="3799" w:type="pct"/>
            <w:vAlign w:val="center"/>
          </w:tcPr>
          <w:p w:rsidR="00C275A9" w:rsidRPr="00920176" w:rsidRDefault="00E531AF" w:rsidP="0086605D">
            <w:pPr>
              <w:jc w:val="center"/>
              <w:rPr>
                <w:rFonts w:ascii="Calibri" w:hAnsi="Calibri" w:cs="Calibri"/>
                <w:sz w:val="20"/>
                <w:szCs w:val="20"/>
                <w:lang w:val="en-GB"/>
              </w:rPr>
            </w:pPr>
            <w:r>
              <w:rPr>
                <w:rFonts w:ascii="Calibri" w:hAnsi="Calibri" w:cs="Calibri"/>
                <w:sz w:val="20"/>
                <w:szCs w:val="20"/>
                <w:lang w:val="en-GB"/>
              </w:rPr>
              <w:t>Train</w:t>
            </w:r>
            <w:r w:rsidR="00C275A9" w:rsidRPr="00920176">
              <w:rPr>
                <w:rFonts w:ascii="Calibri" w:hAnsi="Calibri" w:cs="Calibri"/>
                <w:sz w:val="20"/>
                <w:szCs w:val="20"/>
                <w:lang w:val="en-GB"/>
              </w:rPr>
              <w:t>.km</w:t>
            </w:r>
          </w:p>
        </w:tc>
      </w:tr>
      <w:tr w:rsidR="00C275A9" w:rsidRPr="00920176" w:rsidTr="0086605D">
        <w:trPr>
          <w:trHeight w:val="330"/>
        </w:trPr>
        <w:tc>
          <w:tcPr>
            <w:tcW w:w="1201" w:type="pct"/>
            <w:shd w:val="clear" w:color="auto" w:fill="D9D9D9" w:themeFill="background1" w:themeFillShade="D9"/>
            <w:vAlign w:val="center"/>
          </w:tcPr>
          <w:p w:rsidR="00C275A9" w:rsidRPr="00920176" w:rsidRDefault="00C275A9" w:rsidP="003946FB">
            <w:pPr>
              <w:pStyle w:val="Tabellenkopf"/>
              <w:jc w:val="center"/>
              <w:rPr>
                <w:rFonts w:ascii="Calibri" w:hAnsi="Calibri" w:cs="Calibri"/>
                <w:b/>
                <w:color w:val="000000"/>
                <w:sz w:val="20"/>
                <w:lang w:val="en-GB"/>
              </w:rPr>
            </w:pPr>
            <w:r w:rsidRPr="00920176">
              <w:rPr>
                <w:rFonts w:ascii="Calibri" w:hAnsi="Calibri" w:cs="Calibri"/>
                <w:b/>
                <w:color w:val="000000"/>
                <w:sz w:val="20"/>
                <w:lang w:val="en-GB"/>
              </w:rPr>
              <w:t xml:space="preserve">Greece </w:t>
            </w:r>
          </w:p>
        </w:tc>
        <w:tc>
          <w:tcPr>
            <w:tcW w:w="3799" w:type="pct"/>
            <w:shd w:val="clear" w:color="auto" w:fill="D9D9D9" w:themeFill="background1" w:themeFillShade="D9"/>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C275A9" w:rsidRPr="00C54CEB" w:rsidTr="005575E0">
        <w:trPr>
          <w:trHeight w:val="281"/>
        </w:trPr>
        <w:tc>
          <w:tcPr>
            <w:tcW w:w="1201" w:type="pct"/>
            <w:vAlign w:val="center"/>
          </w:tcPr>
          <w:p w:rsidR="00C275A9" w:rsidRPr="00920176" w:rsidRDefault="00C275A9" w:rsidP="003946FB">
            <w:pPr>
              <w:pStyle w:val="Tabellenkopf"/>
              <w:jc w:val="center"/>
              <w:rPr>
                <w:rFonts w:ascii="Calibri" w:hAnsi="Calibri" w:cs="Calibri"/>
                <w:b/>
                <w:color w:val="000000"/>
                <w:sz w:val="20"/>
                <w:lang w:val="en-GB"/>
              </w:rPr>
            </w:pPr>
            <w:r w:rsidRPr="00920176">
              <w:rPr>
                <w:rFonts w:ascii="Calibri" w:hAnsi="Calibri" w:cs="Calibri"/>
                <w:b/>
                <w:color w:val="000000"/>
                <w:sz w:val="20"/>
                <w:lang w:val="en-GB"/>
              </w:rPr>
              <w:t>Hungary</w:t>
            </w:r>
          </w:p>
        </w:tc>
        <w:tc>
          <w:tcPr>
            <w:tcW w:w="3799" w:type="pct"/>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Train.km and number of paths</w:t>
            </w:r>
          </w:p>
        </w:tc>
      </w:tr>
      <w:tr w:rsidR="00C275A9" w:rsidRPr="00920176" w:rsidTr="0086605D">
        <w:trPr>
          <w:trHeight w:val="441"/>
        </w:trPr>
        <w:tc>
          <w:tcPr>
            <w:tcW w:w="1201" w:type="pct"/>
            <w:shd w:val="clear" w:color="auto" w:fill="D9D9D9" w:themeFill="background1" w:themeFillShade="D9"/>
            <w:vAlign w:val="center"/>
          </w:tcPr>
          <w:p w:rsidR="00C275A9" w:rsidRPr="00920176" w:rsidRDefault="00C275A9" w:rsidP="003946FB">
            <w:pPr>
              <w:jc w:val="center"/>
              <w:rPr>
                <w:lang w:val="en-GB" w:eastAsia="de-CH"/>
              </w:rPr>
            </w:pPr>
            <w:r w:rsidRPr="00920176">
              <w:rPr>
                <w:rFonts w:ascii="Calibri" w:hAnsi="Calibri" w:cs="Calibri"/>
                <w:b/>
                <w:color w:val="000000"/>
                <w:sz w:val="20"/>
                <w:lang w:val="en-GB"/>
              </w:rPr>
              <w:t xml:space="preserve">Italy </w:t>
            </w:r>
          </w:p>
        </w:tc>
        <w:tc>
          <w:tcPr>
            <w:tcW w:w="3799" w:type="pct"/>
            <w:shd w:val="clear" w:color="auto" w:fill="D9D9D9" w:themeFill="background1" w:themeFillShade="D9"/>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C275A9" w:rsidRPr="00920176" w:rsidTr="005575E0">
        <w:trPr>
          <w:trHeight w:val="291"/>
        </w:trPr>
        <w:tc>
          <w:tcPr>
            <w:tcW w:w="1201" w:type="pct"/>
            <w:vAlign w:val="center"/>
          </w:tcPr>
          <w:p w:rsidR="00C275A9" w:rsidRPr="00920176" w:rsidRDefault="00C275A9" w:rsidP="003946FB">
            <w:pPr>
              <w:pStyle w:val="Tabellenkopf"/>
              <w:jc w:val="center"/>
              <w:rPr>
                <w:rFonts w:ascii="Calibri" w:hAnsi="Calibri" w:cs="Calibri"/>
                <w:b/>
                <w:color w:val="000000"/>
                <w:sz w:val="20"/>
                <w:lang w:val="en-GB"/>
              </w:rPr>
            </w:pPr>
            <w:r w:rsidRPr="00920176">
              <w:rPr>
                <w:rFonts w:ascii="Calibri" w:hAnsi="Calibri" w:cs="Calibri"/>
                <w:b/>
                <w:color w:val="000000"/>
                <w:sz w:val="20"/>
                <w:lang w:val="en-GB"/>
              </w:rPr>
              <w:t xml:space="preserve">Latvia </w:t>
            </w:r>
          </w:p>
        </w:tc>
        <w:tc>
          <w:tcPr>
            <w:tcW w:w="3799" w:type="pct"/>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C275A9" w:rsidRPr="00920176" w:rsidTr="0086605D">
        <w:trPr>
          <w:trHeight w:val="471"/>
        </w:trPr>
        <w:tc>
          <w:tcPr>
            <w:tcW w:w="1201" w:type="pct"/>
            <w:shd w:val="clear" w:color="auto" w:fill="D9D9D9" w:themeFill="background1" w:themeFillShade="D9"/>
            <w:vAlign w:val="center"/>
          </w:tcPr>
          <w:p w:rsidR="00C275A9" w:rsidRPr="00920176" w:rsidRDefault="00C275A9" w:rsidP="003946FB">
            <w:pPr>
              <w:pStyle w:val="Tabellenkopf"/>
              <w:jc w:val="center"/>
              <w:rPr>
                <w:rFonts w:ascii="Calibri" w:hAnsi="Calibri" w:cs="Calibri"/>
                <w:b/>
                <w:sz w:val="20"/>
                <w:lang w:val="en-GB"/>
              </w:rPr>
            </w:pPr>
            <w:r w:rsidRPr="00920176">
              <w:rPr>
                <w:rFonts w:ascii="Calibri" w:hAnsi="Calibri" w:cs="Calibri"/>
                <w:b/>
                <w:sz w:val="20"/>
                <w:lang w:val="en-GB"/>
              </w:rPr>
              <w:t xml:space="preserve">Luxemburg </w:t>
            </w:r>
          </w:p>
        </w:tc>
        <w:tc>
          <w:tcPr>
            <w:tcW w:w="3799" w:type="pct"/>
            <w:shd w:val="clear" w:color="auto" w:fill="D9D9D9" w:themeFill="background1" w:themeFillShade="D9"/>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Path.km</w:t>
            </w:r>
          </w:p>
        </w:tc>
      </w:tr>
      <w:tr w:rsidR="00C275A9" w:rsidRPr="00920176" w:rsidTr="005575E0">
        <w:trPr>
          <w:trHeight w:val="281"/>
        </w:trPr>
        <w:tc>
          <w:tcPr>
            <w:tcW w:w="1201" w:type="pct"/>
            <w:vAlign w:val="center"/>
          </w:tcPr>
          <w:p w:rsidR="00C275A9" w:rsidRPr="00920176" w:rsidRDefault="00C275A9" w:rsidP="003946FB">
            <w:pPr>
              <w:pStyle w:val="Tabellenkopf"/>
              <w:jc w:val="center"/>
              <w:rPr>
                <w:lang w:val="en-GB"/>
              </w:rPr>
            </w:pPr>
            <w:r w:rsidRPr="00920176">
              <w:rPr>
                <w:rFonts w:ascii="Calibri" w:hAnsi="Calibri" w:cs="Calibri"/>
                <w:b/>
                <w:sz w:val="20"/>
                <w:lang w:val="en-GB"/>
              </w:rPr>
              <w:t xml:space="preserve">Netherlands </w:t>
            </w:r>
          </w:p>
        </w:tc>
        <w:tc>
          <w:tcPr>
            <w:tcW w:w="3799" w:type="pct"/>
            <w:vAlign w:val="center"/>
          </w:tcPr>
          <w:p w:rsidR="00C275A9" w:rsidRPr="00920176" w:rsidRDefault="00C275A9"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DF6B17" w:rsidRPr="00920176" w:rsidTr="0086605D">
        <w:trPr>
          <w:trHeight w:val="281"/>
        </w:trPr>
        <w:tc>
          <w:tcPr>
            <w:tcW w:w="1201" w:type="pct"/>
            <w:shd w:val="clear" w:color="auto" w:fill="D9D9D9" w:themeFill="background1" w:themeFillShade="D9"/>
            <w:vAlign w:val="center"/>
          </w:tcPr>
          <w:p w:rsidR="00DF6B17" w:rsidRPr="00920176" w:rsidRDefault="00DF6B17" w:rsidP="003946FB">
            <w:pPr>
              <w:pStyle w:val="Tabellenkopf"/>
              <w:jc w:val="center"/>
              <w:rPr>
                <w:rFonts w:ascii="Calibri" w:hAnsi="Calibri" w:cs="Calibri"/>
                <w:b/>
                <w:sz w:val="20"/>
                <w:lang w:val="en-GB"/>
              </w:rPr>
            </w:pPr>
            <w:r>
              <w:rPr>
                <w:rFonts w:ascii="Calibri" w:hAnsi="Calibri" w:cs="Calibri"/>
                <w:b/>
                <w:sz w:val="20"/>
                <w:lang w:val="en-GB"/>
              </w:rPr>
              <w:t>Norway</w:t>
            </w:r>
          </w:p>
        </w:tc>
        <w:tc>
          <w:tcPr>
            <w:tcW w:w="3799" w:type="pct"/>
            <w:shd w:val="clear" w:color="auto" w:fill="D9D9D9" w:themeFill="background1" w:themeFillShade="D9"/>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Gross-tonne.km</w:t>
            </w:r>
          </w:p>
        </w:tc>
      </w:tr>
      <w:tr w:rsidR="00DF6B17" w:rsidRPr="00920176" w:rsidTr="005575E0">
        <w:trPr>
          <w:trHeight w:val="432"/>
        </w:trPr>
        <w:tc>
          <w:tcPr>
            <w:tcW w:w="1201" w:type="pct"/>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Poland</w:t>
            </w:r>
          </w:p>
        </w:tc>
        <w:tc>
          <w:tcPr>
            <w:tcW w:w="3799" w:type="pct"/>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DF6B17" w:rsidRPr="00920176" w:rsidTr="0086605D">
        <w:trPr>
          <w:trHeight w:val="432"/>
        </w:trPr>
        <w:tc>
          <w:tcPr>
            <w:tcW w:w="1201" w:type="pct"/>
            <w:shd w:val="clear" w:color="auto" w:fill="D9D9D9" w:themeFill="background1" w:themeFillShade="D9"/>
            <w:vAlign w:val="center"/>
          </w:tcPr>
          <w:p w:rsidR="00DF6B17" w:rsidRPr="00920176" w:rsidRDefault="00DF6B17" w:rsidP="003946FB">
            <w:pPr>
              <w:pStyle w:val="Tabellenkopf"/>
              <w:jc w:val="center"/>
              <w:rPr>
                <w:rFonts w:ascii="Calibri" w:hAnsi="Calibri" w:cs="Calibri"/>
                <w:b/>
                <w:sz w:val="20"/>
                <w:lang w:val="en-GB"/>
              </w:rPr>
            </w:pPr>
            <w:r>
              <w:rPr>
                <w:rFonts w:ascii="Calibri" w:hAnsi="Calibri" w:cs="Calibri"/>
                <w:b/>
                <w:sz w:val="20"/>
                <w:lang w:val="en-GB"/>
              </w:rPr>
              <w:t>Portugal</w:t>
            </w:r>
          </w:p>
        </w:tc>
        <w:tc>
          <w:tcPr>
            <w:tcW w:w="3799" w:type="pct"/>
            <w:shd w:val="clear" w:color="auto" w:fill="D9D9D9" w:themeFill="background1" w:themeFillShade="D9"/>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DF6B17" w:rsidRPr="00C54CEB" w:rsidTr="00D913C1">
        <w:trPr>
          <w:trHeight w:val="432"/>
        </w:trPr>
        <w:tc>
          <w:tcPr>
            <w:tcW w:w="1201" w:type="pct"/>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Romania</w:t>
            </w:r>
          </w:p>
        </w:tc>
        <w:tc>
          <w:tcPr>
            <w:tcW w:w="3799" w:type="pct"/>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Train.km</w:t>
            </w:r>
            <w:r>
              <w:rPr>
                <w:rFonts w:ascii="Calibri" w:hAnsi="Calibri" w:cs="Calibri"/>
                <w:sz w:val="20"/>
                <w:szCs w:val="20"/>
                <w:lang w:val="en-GB"/>
              </w:rPr>
              <w:t xml:space="preserve">, </w:t>
            </w:r>
            <w:r>
              <w:rPr>
                <w:rFonts w:asciiTheme="minorHAnsi" w:hAnsiTheme="minorHAnsi"/>
                <w:sz w:val="20"/>
                <w:szCs w:val="20"/>
                <w:lang w:val="en-GB"/>
              </w:rPr>
              <w:t xml:space="preserve"> </w:t>
            </w:r>
            <w:r>
              <w:rPr>
                <w:rFonts w:ascii="Calibri" w:hAnsi="Calibri" w:cs="Calibri"/>
                <w:sz w:val="20"/>
                <w:szCs w:val="20"/>
                <w:lang w:val="en-GB"/>
              </w:rPr>
              <w:t>gross-tonne.km</w:t>
            </w:r>
          </w:p>
        </w:tc>
      </w:tr>
      <w:tr w:rsidR="00DF6B17" w:rsidRPr="00C54CEB" w:rsidTr="0086605D">
        <w:trPr>
          <w:trHeight w:val="432"/>
        </w:trPr>
        <w:tc>
          <w:tcPr>
            <w:tcW w:w="1201" w:type="pct"/>
            <w:shd w:val="clear" w:color="auto" w:fill="D9D9D9" w:themeFill="background1" w:themeFillShade="D9"/>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Slovakia</w:t>
            </w:r>
          </w:p>
        </w:tc>
        <w:tc>
          <w:tcPr>
            <w:tcW w:w="3799" w:type="pct"/>
            <w:shd w:val="clear" w:color="auto" w:fill="D9D9D9" w:themeFill="background1" w:themeFillShade="D9"/>
            <w:vAlign w:val="center"/>
          </w:tcPr>
          <w:p w:rsidR="00DF6B17" w:rsidRPr="00920176" w:rsidRDefault="00DF6B17" w:rsidP="0086605D">
            <w:pPr>
              <w:jc w:val="center"/>
              <w:rPr>
                <w:rFonts w:ascii="Calibri" w:hAnsi="Calibri" w:cs="Calibri"/>
                <w:sz w:val="20"/>
                <w:szCs w:val="20"/>
                <w:lang w:val="en-GB"/>
              </w:rPr>
            </w:pPr>
            <w:r>
              <w:rPr>
                <w:rFonts w:ascii="Calibri" w:hAnsi="Calibri" w:cs="Calibri"/>
                <w:sz w:val="20"/>
                <w:szCs w:val="20"/>
                <w:lang w:val="en-GB"/>
              </w:rPr>
              <w:t>Train.km and gross tonne.km</w:t>
            </w:r>
          </w:p>
        </w:tc>
      </w:tr>
      <w:tr w:rsidR="00DF6B17" w:rsidRPr="00920176" w:rsidTr="005575E0">
        <w:trPr>
          <w:trHeight w:val="448"/>
        </w:trPr>
        <w:tc>
          <w:tcPr>
            <w:tcW w:w="1201" w:type="pct"/>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Slovenia</w:t>
            </w:r>
          </w:p>
        </w:tc>
        <w:tc>
          <w:tcPr>
            <w:tcW w:w="3799" w:type="pct"/>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Train.km</w:t>
            </w:r>
          </w:p>
        </w:tc>
      </w:tr>
      <w:tr w:rsidR="00DF6B17" w:rsidRPr="00C54CEB" w:rsidTr="0086605D">
        <w:trPr>
          <w:trHeight w:val="229"/>
        </w:trPr>
        <w:tc>
          <w:tcPr>
            <w:tcW w:w="1201" w:type="pct"/>
            <w:shd w:val="clear" w:color="auto" w:fill="D9D9D9" w:themeFill="background1" w:themeFillShade="D9"/>
            <w:vAlign w:val="center"/>
          </w:tcPr>
          <w:p w:rsidR="00DF6B17" w:rsidRPr="00920176" w:rsidRDefault="00DF6B17" w:rsidP="003946FB">
            <w:pPr>
              <w:pStyle w:val="Tabellenkopf"/>
              <w:jc w:val="center"/>
              <w:rPr>
                <w:rFonts w:ascii="Calibri" w:hAnsi="Calibri" w:cs="Calibri"/>
                <w:b/>
                <w:color w:val="33CCCC"/>
                <w:sz w:val="20"/>
                <w:lang w:val="en-GB"/>
              </w:rPr>
            </w:pPr>
            <w:r w:rsidRPr="00920176">
              <w:rPr>
                <w:rFonts w:ascii="Calibri" w:hAnsi="Calibri" w:cs="Calibri"/>
                <w:b/>
                <w:sz w:val="20"/>
                <w:lang w:val="en-GB"/>
              </w:rPr>
              <w:t>Spain</w:t>
            </w:r>
          </w:p>
        </w:tc>
        <w:tc>
          <w:tcPr>
            <w:tcW w:w="3799" w:type="pct"/>
            <w:shd w:val="clear" w:color="auto" w:fill="D9D9D9" w:themeFill="background1" w:themeFillShade="D9"/>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Path.km, seats.train.km and train.km</w:t>
            </w:r>
          </w:p>
        </w:tc>
      </w:tr>
      <w:tr w:rsidR="00DF6B17" w:rsidRPr="00C54CEB" w:rsidTr="005575E0">
        <w:trPr>
          <w:trHeight w:val="449"/>
        </w:trPr>
        <w:tc>
          <w:tcPr>
            <w:tcW w:w="1201" w:type="pct"/>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 xml:space="preserve">Sweden </w:t>
            </w:r>
          </w:p>
        </w:tc>
        <w:tc>
          <w:tcPr>
            <w:tcW w:w="3799" w:type="pct"/>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Gross tonne.km</w:t>
            </w:r>
            <w:r>
              <w:rPr>
                <w:rFonts w:ascii="Calibri" w:hAnsi="Calibri" w:cs="Calibri"/>
                <w:sz w:val="20"/>
                <w:szCs w:val="20"/>
                <w:lang w:val="en-GB"/>
              </w:rPr>
              <w:t xml:space="preserve"> and</w:t>
            </w:r>
            <w:r w:rsidRPr="00920176">
              <w:rPr>
                <w:rFonts w:ascii="Calibri" w:hAnsi="Calibri" w:cs="Calibri"/>
                <w:sz w:val="20"/>
                <w:szCs w:val="20"/>
                <w:lang w:val="en-GB"/>
              </w:rPr>
              <w:t xml:space="preserve"> train.km </w:t>
            </w:r>
          </w:p>
        </w:tc>
      </w:tr>
      <w:tr w:rsidR="00DF6B17" w:rsidRPr="00C54CEB" w:rsidTr="0086605D">
        <w:trPr>
          <w:trHeight w:val="449"/>
        </w:trPr>
        <w:tc>
          <w:tcPr>
            <w:tcW w:w="1201" w:type="pct"/>
            <w:shd w:val="clear" w:color="auto" w:fill="D9D9D9" w:themeFill="background1" w:themeFillShade="D9"/>
            <w:vAlign w:val="center"/>
          </w:tcPr>
          <w:p w:rsidR="00DF6B17" w:rsidRPr="00920176" w:rsidRDefault="00DF6B17" w:rsidP="003946FB">
            <w:pPr>
              <w:pStyle w:val="Tabellenkopf"/>
              <w:jc w:val="center"/>
              <w:rPr>
                <w:rFonts w:ascii="Calibri" w:hAnsi="Calibri" w:cs="Calibri"/>
                <w:b/>
                <w:sz w:val="20"/>
                <w:lang w:val="en-GB"/>
              </w:rPr>
            </w:pPr>
            <w:r w:rsidRPr="00920176">
              <w:rPr>
                <w:rFonts w:ascii="Calibri" w:hAnsi="Calibri" w:cs="Calibri"/>
                <w:b/>
                <w:sz w:val="20"/>
                <w:lang w:val="en-GB"/>
              </w:rPr>
              <w:t>Switzerland</w:t>
            </w:r>
          </w:p>
        </w:tc>
        <w:tc>
          <w:tcPr>
            <w:tcW w:w="3799" w:type="pct"/>
            <w:shd w:val="clear" w:color="auto" w:fill="D9D9D9" w:themeFill="background1" w:themeFillShade="D9"/>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CHF/year, train.km, gross tonne.km, powered axle.km, % of traffic revenues</w:t>
            </w:r>
          </w:p>
        </w:tc>
      </w:tr>
      <w:tr w:rsidR="00DF6B17" w:rsidRPr="00C54CEB" w:rsidTr="005575E0">
        <w:trPr>
          <w:trHeight w:val="513"/>
        </w:trPr>
        <w:tc>
          <w:tcPr>
            <w:tcW w:w="1201" w:type="pct"/>
            <w:vAlign w:val="center"/>
          </w:tcPr>
          <w:p w:rsidR="00DF6B17" w:rsidRPr="00920176" w:rsidRDefault="00DF6B17" w:rsidP="003946FB">
            <w:pPr>
              <w:pStyle w:val="Tabellenkopf"/>
              <w:jc w:val="center"/>
              <w:rPr>
                <w:color w:val="000000"/>
                <w:sz w:val="20"/>
                <w:lang w:val="en-GB"/>
              </w:rPr>
            </w:pPr>
            <w:r w:rsidRPr="00920176">
              <w:rPr>
                <w:rFonts w:ascii="Calibri" w:hAnsi="Calibri" w:cs="Calibri"/>
                <w:b/>
                <w:color w:val="000000"/>
                <w:sz w:val="20"/>
                <w:lang w:val="en-GB"/>
              </w:rPr>
              <w:t>UK</w:t>
            </w:r>
          </w:p>
        </w:tc>
        <w:tc>
          <w:tcPr>
            <w:tcW w:w="3799" w:type="pct"/>
            <w:vAlign w:val="center"/>
          </w:tcPr>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Thousand gross tonne vehicle.mile,</w:t>
            </w:r>
          </w:p>
          <w:p w:rsidR="00DF6B17" w:rsidRPr="00920176" w:rsidRDefault="00DF6B17" w:rsidP="0086605D">
            <w:pPr>
              <w:jc w:val="center"/>
              <w:rPr>
                <w:rFonts w:ascii="Calibri" w:hAnsi="Calibri" w:cs="Calibri"/>
                <w:sz w:val="20"/>
                <w:szCs w:val="20"/>
                <w:lang w:val="en-GB"/>
              </w:rPr>
            </w:pPr>
            <w:r w:rsidRPr="00920176">
              <w:rPr>
                <w:rFonts w:ascii="Calibri" w:hAnsi="Calibri" w:cs="Calibri"/>
                <w:sz w:val="20"/>
                <w:szCs w:val="20"/>
                <w:lang w:val="en-GB"/>
              </w:rPr>
              <w:t>vehicle.mile, train.mile and billing period</w:t>
            </w:r>
          </w:p>
        </w:tc>
      </w:tr>
    </w:tbl>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4F0458" w:rsidRPr="00920176" w:rsidRDefault="004F0458" w:rsidP="00762AF3">
      <w:pPr>
        <w:rPr>
          <w:rFonts w:asciiTheme="minorHAnsi" w:hAnsiTheme="minorHAnsi"/>
          <w:sz w:val="22"/>
          <w:szCs w:val="22"/>
          <w:lang w:val="en-GB"/>
        </w:rPr>
      </w:pPr>
    </w:p>
    <w:p w:rsidR="00603222" w:rsidRPr="00920176" w:rsidRDefault="00603222" w:rsidP="004F0458">
      <w:pPr>
        <w:jc w:val="center"/>
        <w:rPr>
          <w:rFonts w:asciiTheme="minorHAnsi" w:hAnsiTheme="minorHAnsi" w:cs="Calibri"/>
          <w:color w:val="FF0000"/>
          <w:sz w:val="22"/>
          <w:szCs w:val="22"/>
          <w:lang w:val="en-GB"/>
        </w:rPr>
      </w:pPr>
    </w:p>
    <w:p w:rsidR="00D61E57" w:rsidRDefault="00D61E57">
      <w:pPr>
        <w:rPr>
          <w:rFonts w:asciiTheme="minorHAnsi" w:hAnsiTheme="minorHAnsi"/>
          <w:b/>
          <w:bCs/>
          <w:i/>
          <w:kern w:val="32"/>
          <w:sz w:val="28"/>
          <w:szCs w:val="22"/>
          <w:lang w:val="en-GB"/>
        </w:rPr>
      </w:pPr>
      <w:bookmarkStart w:id="11" w:name="_Toc461625123"/>
      <w:bookmarkStart w:id="12" w:name="_Toc461625225"/>
      <w:r>
        <w:rPr>
          <w:rFonts w:asciiTheme="minorHAnsi" w:hAnsiTheme="minorHAnsi"/>
          <w:i/>
          <w:sz w:val="28"/>
          <w:szCs w:val="22"/>
          <w:lang w:val="en-GB"/>
        </w:rPr>
        <w:br w:type="page"/>
      </w:r>
    </w:p>
    <w:p w:rsidR="00D74576" w:rsidRPr="00920176" w:rsidRDefault="00D74576" w:rsidP="00E561FB">
      <w:pPr>
        <w:pStyle w:val="Titre1"/>
        <w:numPr>
          <w:ilvl w:val="0"/>
          <w:numId w:val="13"/>
        </w:numPr>
        <w:spacing w:line="276" w:lineRule="auto"/>
        <w:jc w:val="both"/>
        <w:rPr>
          <w:rFonts w:asciiTheme="minorHAnsi" w:hAnsiTheme="minorHAnsi"/>
          <w:i/>
          <w:sz w:val="28"/>
          <w:szCs w:val="22"/>
          <w:lang w:val="en-GB"/>
        </w:rPr>
      </w:pPr>
      <w:bookmarkStart w:id="13" w:name="_Toc496279016"/>
      <w:r w:rsidRPr="00920176">
        <w:rPr>
          <w:rFonts w:asciiTheme="minorHAnsi" w:hAnsiTheme="minorHAnsi"/>
          <w:i/>
          <w:sz w:val="28"/>
          <w:szCs w:val="22"/>
          <w:lang w:val="en-GB"/>
        </w:rPr>
        <w:lastRenderedPageBreak/>
        <w:t>Roles of regulatory bodies in charging issues</w:t>
      </w:r>
      <w:bookmarkEnd w:id="11"/>
      <w:bookmarkEnd w:id="12"/>
      <w:bookmarkEnd w:id="13"/>
      <w:r w:rsidRPr="00920176">
        <w:rPr>
          <w:rFonts w:asciiTheme="minorHAnsi" w:hAnsiTheme="minorHAnsi"/>
          <w:i/>
          <w:sz w:val="28"/>
          <w:szCs w:val="22"/>
          <w:lang w:val="en-GB"/>
        </w:rPr>
        <w:t xml:space="preserve"> </w:t>
      </w:r>
    </w:p>
    <w:p w:rsidR="000D2D45" w:rsidRPr="00920176" w:rsidRDefault="000D2D45" w:rsidP="00B52093">
      <w:pPr>
        <w:rPr>
          <w:lang w:val="en-GB"/>
        </w:rPr>
      </w:pPr>
    </w:p>
    <w:p w:rsidR="000D2D45" w:rsidRPr="00920176" w:rsidRDefault="000D2D45" w:rsidP="00603222">
      <w:pPr>
        <w:spacing w:after="240" w:line="276" w:lineRule="auto"/>
        <w:jc w:val="both"/>
        <w:rPr>
          <w:rFonts w:asciiTheme="minorHAnsi" w:hAnsiTheme="minorHAnsi"/>
          <w:sz w:val="22"/>
          <w:szCs w:val="22"/>
          <w:lang w:val="en-GB"/>
        </w:rPr>
      </w:pPr>
      <w:r w:rsidRPr="00920176">
        <w:rPr>
          <w:rFonts w:asciiTheme="minorHAnsi" w:hAnsiTheme="minorHAnsi"/>
          <w:sz w:val="22"/>
          <w:szCs w:val="22"/>
          <w:lang w:val="en-GB"/>
        </w:rPr>
        <w:t>Th</w:t>
      </w:r>
      <w:r w:rsidR="00495EEB">
        <w:rPr>
          <w:rFonts w:asciiTheme="minorHAnsi" w:hAnsiTheme="minorHAnsi"/>
          <w:sz w:val="22"/>
          <w:szCs w:val="22"/>
          <w:lang w:val="en-GB"/>
        </w:rPr>
        <w:t>is</w:t>
      </w:r>
      <w:r w:rsidRPr="00920176">
        <w:rPr>
          <w:rFonts w:asciiTheme="minorHAnsi" w:hAnsiTheme="minorHAnsi"/>
          <w:sz w:val="22"/>
          <w:szCs w:val="22"/>
          <w:lang w:val="en-GB"/>
        </w:rPr>
        <w:t xml:space="preserve"> </w:t>
      </w:r>
      <w:r w:rsidR="00495EEB">
        <w:rPr>
          <w:rFonts w:asciiTheme="minorHAnsi" w:hAnsiTheme="minorHAnsi"/>
          <w:sz w:val="22"/>
          <w:szCs w:val="22"/>
          <w:lang w:val="en-GB"/>
        </w:rPr>
        <w:t xml:space="preserve">section approaches </w:t>
      </w:r>
      <w:r w:rsidRPr="00920176">
        <w:rPr>
          <w:rFonts w:asciiTheme="minorHAnsi" w:hAnsiTheme="minorHAnsi"/>
          <w:sz w:val="22"/>
          <w:szCs w:val="22"/>
          <w:lang w:val="en-GB"/>
        </w:rPr>
        <w:t>the role of regulatory bodies in the context of charging review</w:t>
      </w:r>
      <w:r w:rsidR="00191EB8" w:rsidRPr="00920176">
        <w:rPr>
          <w:rFonts w:asciiTheme="minorHAnsi" w:hAnsiTheme="minorHAnsi"/>
          <w:sz w:val="22"/>
          <w:szCs w:val="22"/>
          <w:lang w:val="en-GB"/>
        </w:rPr>
        <w:t xml:space="preserve"> in the different Member States</w:t>
      </w:r>
      <w:r w:rsidRPr="00920176">
        <w:rPr>
          <w:rFonts w:asciiTheme="minorHAnsi" w:hAnsiTheme="minorHAnsi"/>
          <w:sz w:val="22"/>
          <w:szCs w:val="22"/>
          <w:lang w:val="en-GB"/>
        </w:rPr>
        <w:t>. Most regulatory bodies are involved i</w:t>
      </w:r>
      <w:r w:rsidR="00FD3FA0" w:rsidRPr="00920176">
        <w:rPr>
          <w:rFonts w:asciiTheme="minorHAnsi" w:hAnsiTheme="minorHAnsi"/>
          <w:sz w:val="22"/>
          <w:szCs w:val="22"/>
          <w:lang w:val="en-GB"/>
        </w:rPr>
        <w:t>n the review of access charging. H</w:t>
      </w:r>
      <w:r w:rsidRPr="00920176">
        <w:rPr>
          <w:rFonts w:asciiTheme="minorHAnsi" w:hAnsiTheme="minorHAnsi"/>
          <w:sz w:val="22"/>
          <w:szCs w:val="22"/>
          <w:lang w:val="en-GB"/>
        </w:rPr>
        <w:t>owever</w:t>
      </w:r>
      <w:r w:rsidR="00FD3FA0" w:rsidRPr="00920176">
        <w:rPr>
          <w:rFonts w:asciiTheme="minorHAnsi" w:hAnsiTheme="minorHAnsi"/>
          <w:sz w:val="22"/>
          <w:szCs w:val="22"/>
          <w:lang w:val="en-GB"/>
        </w:rPr>
        <w:t>,</w:t>
      </w:r>
      <w:r w:rsidRPr="00920176">
        <w:rPr>
          <w:rFonts w:asciiTheme="minorHAnsi" w:hAnsiTheme="minorHAnsi"/>
          <w:sz w:val="22"/>
          <w:szCs w:val="22"/>
          <w:lang w:val="en-GB"/>
        </w:rPr>
        <w:t xml:space="preserve"> their roles and degree of involvement appear to diverge significantly from one country to another.</w:t>
      </w:r>
      <w:r w:rsidR="00C831A2" w:rsidRPr="00920176">
        <w:rPr>
          <w:rFonts w:asciiTheme="minorHAnsi" w:hAnsiTheme="minorHAnsi"/>
          <w:sz w:val="22"/>
          <w:szCs w:val="22"/>
          <w:lang w:val="en-GB"/>
        </w:rPr>
        <w:t xml:space="preserve"> In some countries like Italy, the </w:t>
      </w:r>
      <w:r w:rsidR="002123F8">
        <w:rPr>
          <w:rFonts w:asciiTheme="minorHAnsi" w:hAnsiTheme="minorHAnsi"/>
          <w:sz w:val="22"/>
          <w:szCs w:val="22"/>
          <w:lang w:val="en-GB"/>
        </w:rPr>
        <w:t>r</w:t>
      </w:r>
      <w:r w:rsidR="00C831A2" w:rsidRPr="00920176">
        <w:rPr>
          <w:rFonts w:asciiTheme="minorHAnsi" w:hAnsiTheme="minorHAnsi"/>
          <w:sz w:val="22"/>
          <w:szCs w:val="22"/>
          <w:lang w:val="en-GB"/>
        </w:rPr>
        <w:t>egulatory body can impose specific criteria and principles that must be followed by the IM in the determination of the access charges. The “prescriptions” may include costing and pricing rules as well as specific economic values (as for example in the application of the CAPM/WACC formula).</w:t>
      </w:r>
    </w:p>
    <w:p w:rsidR="000D2D45" w:rsidRPr="00920176" w:rsidRDefault="000D2D45" w:rsidP="00603222">
      <w:pPr>
        <w:spacing w:after="240" w:line="276" w:lineRule="auto"/>
        <w:jc w:val="both"/>
        <w:rPr>
          <w:rFonts w:asciiTheme="minorHAnsi" w:hAnsiTheme="minorHAnsi"/>
          <w:sz w:val="22"/>
          <w:szCs w:val="22"/>
          <w:lang w:val="en-GB"/>
        </w:rPr>
      </w:pPr>
      <w:r w:rsidRPr="00920176">
        <w:rPr>
          <w:rFonts w:asciiTheme="minorHAnsi" w:hAnsiTheme="minorHAnsi"/>
          <w:sz w:val="22"/>
          <w:szCs w:val="22"/>
          <w:lang w:val="en-GB"/>
        </w:rPr>
        <w:t>In this context, the IRG-Rail Charging working group has produced a questionnaire to map the roles of regulatory body in respect of charging. The questionnaire aims at establishing what the general approaches to charging in various Member States are and exploring in further details some aspects of charging issues.</w:t>
      </w:r>
    </w:p>
    <w:p w:rsidR="000D2D45" w:rsidRPr="000A6B0A" w:rsidRDefault="000D2D45"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following paragraphs present a summary of the main results of the questionnaire, organized by section, </w:t>
      </w:r>
      <w:r w:rsidRPr="00A56CA1">
        <w:rPr>
          <w:rFonts w:asciiTheme="minorHAnsi" w:hAnsiTheme="minorHAnsi"/>
          <w:i/>
          <w:sz w:val="22"/>
          <w:szCs w:val="22"/>
          <w:lang w:val="en-GB"/>
        </w:rPr>
        <w:t xml:space="preserve">i.e. </w:t>
      </w:r>
      <w:r w:rsidRPr="00A56CA1">
        <w:rPr>
          <w:rFonts w:asciiTheme="minorHAnsi" w:hAnsiTheme="minorHAnsi"/>
          <w:sz w:val="22"/>
          <w:szCs w:val="22"/>
          <w:lang w:val="en-GB"/>
        </w:rPr>
        <w:t>(1) general regulatory issues, (2) chargi</w:t>
      </w:r>
      <w:r w:rsidRPr="00920176">
        <w:rPr>
          <w:rFonts w:asciiTheme="minorHAnsi" w:hAnsiTheme="minorHAnsi"/>
          <w:sz w:val="22"/>
          <w:szCs w:val="22"/>
          <w:lang w:val="en-GB"/>
        </w:rPr>
        <w:t xml:space="preserve">ng review, (3) charging principles and cost model, (4) investment and subsidies, (5) earnings and cost of capital, (6) efficiency, (7) market segments, (8) performance regime / performance scheme, (9) </w:t>
      </w:r>
      <w:r w:rsidR="00763F22" w:rsidRPr="00B35F2F">
        <w:rPr>
          <w:rFonts w:asciiTheme="minorHAnsi" w:hAnsiTheme="minorHAnsi"/>
          <w:sz w:val="22"/>
          <w:szCs w:val="22"/>
          <w:lang w:val="en-GB"/>
        </w:rPr>
        <w:t xml:space="preserve">traffic forecasts </w:t>
      </w:r>
      <w:r w:rsidRPr="00C23A55">
        <w:rPr>
          <w:rFonts w:asciiTheme="minorHAnsi" w:hAnsiTheme="minorHAnsi"/>
          <w:sz w:val="22"/>
          <w:szCs w:val="22"/>
          <w:lang w:val="en-GB"/>
        </w:rPr>
        <w:t xml:space="preserve">and (10) </w:t>
      </w:r>
      <w:r w:rsidR="00763F22" w:rsidRPr="000A6B0A">
        <w:rPr>
          <w:rFonts w:asciiTheme="minorHAnsi" w:hAnsiTheme="minorHAnsi"/>
          <w:sz w:val="22"/>
          <w:szCs w:val="22"/>
          <w:lang w:val="en-GB"/>
        </w:rPr>
        <w:t>complaints</w:t>
      </w:r>
      <w:r w:rsidRPr="000A6B0A">
        <w:rPr>
          <w:rFonts w:asciiTheme="minorHAnsi" w:hAnsiTheme="minorHAnsi"/>
          <w:sz w:val="22"/>
          <w:szCs w:val="22"/>
          <w:lang w:val="en-GB"/>
        </w:rPr>
        <w:t>.</w:t>
      </w:r>
      <w:r w:rsidR="00B26AF2">
        <w:rPr>
          <w:rFonts w:asciiTheme="minorHAnsi" w:hAnsiTheme="minorHAnsi"/>
          <w:sz w:val="22"/>
          <w:szCs w:val="22"/>
          <w:lang w:val="en-GB"/>
        </w:rPr>
        <w:t xml:space="preserve"> A table synthetizing the main information is included in subsections 1 to 5. </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1"/>
          <w:numId w:val="2"/>
        </w:numPr>
        <w:spacing w:line="276" w:lineRule="auto"/>
        <w:jc w:val="both"/>
        <w:rPr>
          <w:rFonts w:asciiTheme="minorHAnsi" w:hAnsiTheme="minorHAnsi"/>
          <w:b/>
          <w:noProof/>
          <w:sz w:val="22"/>
          <w:szCs w:val="22"/>
          <w:lang w:val="en-GB"/>
        </w:rPr>
      </w:pPr>
      <w:r w:rsidRPr="000A6B0A">
        <w:rPr>
          <w:rFonts w:asciiTheme="minorHAnsi" w:hAnsiTheme="minorHAnsi"/>
          <w:b/>
          <w:noProof/>
          <w:sz w:val="22"/>
          <w:szCs w:val="22"/>
          <w:lang w:val="en-GB"/>
        </w:rPr>
        <w:t>General regulatory issues</w:t>
      </w:r>
    </w:p>
    <w:p w:rsidR="000D2D45" w:rsidRPr="000A6B0A" w:rsidRDefault="000D2D45" w:rsidP="000D2D45">
      <w:pPr>
        <w:spacing w:line="276" w:lineRule="auto"/>
        <w:jc w:val="both"/>
        <w:rPr>
          <w:rFonts w:asciiTheme="minorHAnsi" w:hAnsiTheme="minorHAnsi"/>
          <w:b/>
          <w:noProof/>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i/>
          <w:noProof/>
          <w:sz w:val="22"/>
          <w:szCs w:val="22"/>
          <w:lang w:val="en-GB"/>
        </w:rPr>
      </w:pPr>
      <w:r w:rsidRPr="000A6B0A">
        <w:rPr>
          <w:rFonts w:asciiTheme="minorHAnsi" w:hAnsiTheme="minorHAnsi"/>
          <w:i/>
          <w:noProof/>
          <w:sz w:val="22"/>
          <w:szCs w:val="22"/>
          <w:lang w:val="en-GB"/>
        </w:rPr>
        <w:t>Scope of regulatory bodies’ mission</w:t>
      </w:r>
    </w:p>
    <w:p w:rsidR="000D2D45" w:rsidRPr="000A6B0A" w:rsidRDefault="000D2D45" w:rsidP="000D2D45">
      <w:pPr>
        <w:spacing w:line="276" w:lineRule="auto"/>
        <w:jc w:val="both"/>
        <w:rPr>
          <w:rFonts w:asciiTheme="minorHAnsi" w:hAnsiTheme="minorHAnsi"/>
          <w:noProof/>
          <w:sz w:val="22"/>
          <w:szCs w:val="22"/>
          <w:lang w:val="en-GB"/>
        </w:rPr>
      </w:pPr>
    </w:p>
    <w:p w:rsidR="00603222" w:rsidRPr="000A6B0A" w:rsidRDefault="00603222" w:rsidP="00603222">
      <w:pPr>
        <w:spacing w:line="276" w:lineRule="auto"/>
        <w:jc w:val="both"/>
        <w:rPr>
          <w:rFonts w:asciiTheme="minorHAnsi" w:hAnsiTheme="minorHAnsi"/>
          <w:noProof/>
          <w:sz w:val="22"/>
          <w:szCs w:val="22"/>
          <w:lang w:val="en-GB"/>
        </w:rPr>
      </w:pPr>
      <w:r w:rsidRPr="000A6B0A">
        <w:rPr>
          <w:rFonts w:asciiTheme="minorHAnsi" w:hAnsiTheme="minorHAnsi"/>
          <w:noProof/>
          <w:sz w:val="22"/>
          <w:szCs w:val="22"/>
          <w:lang w:val="en-GB"/>
        </w:rPr>
        <w:t xml:space="preserve">Although most railway regulatory bodies </w:t>
      </w:r>
      <w:r w:rsidR="00580C20" w:rsidRPr="000A6B0A">
        <w:rPr>
          <w:rFonts w:asciiTheme="minorHAnsi" w:hAnsiTheme="minorHAnsi"/>
          <w:noProof/>
          <w:sz w:val="22"/>
          <w:szCs w:val="22"/>
          <w:lang w:val="en-GB"/>
        </w:rPr>
        <w:t>(</w:t>
      </w:r>
      <w:r w:rsidRPr="000A6B0A">
        <w:rPr>
          <w:rFonts w:asciiTheme="minorHAnsi" w:hAnsiTheme="minorHAnsi"/>
          <w:i/>
          <w:noProof/>
          <w:sz w:val="22"/>
          <w:szCs w:val="22"/>
          <w:lang w:val="en-GB"/>
        </w:rPr>
        <w:t>e.g.</w:t>
      </w:r>
      <w:r w:rsidRPr="000A6B0A">
        <w:rPr>
          <w:rFonts w:asciiTheme="minorHAnsi" w:hAnsiTheme="minorHAnsi"/>
          <w:noProof/>
          <w:sz w:val="22"/>
          <w:szCs w:val="22"/>
          <w:lang w:val="en-GB"/>
        </w:rPr>
        <w:t xml:space="preserve"> the Danish, Norwegian, Finnish</w:t>
      </w:r>
      <w:r w:rsidR="005A3594" w:rsidRPr="000A6B0A">
        <w:rPr>
          <w:rFonts w:asciiTheme="minorHAnsi" w:hAnsiTheme="minorHAnsi"/>
          <w:noProof/>
          <w:sz w:val="22"/>
          <w:szCs w:val="22"/>
          <w:lang w:val="en-GB"/>
        </w:rPr>
        <w:t>,</w:t>
      </w:r>
      <w:r w:rsidRPr="000A6B0A">
        <w:rPr>
          <w:rFonts w:asciiTheme="minorHAnsi" w:hAnsiTheme="minorHAnsi"/>
          <w:noProof/>
          <w:sz w:val="22"/>
          <w:szCs w:val="22"/>
          <w:lang w:val="en-GB"/>
        </w:rPr>
        <w:t xml:space="preserve"> Polish</w:t>
      </w:r>
      <w:r w:rsidR="005A3594" w:rsidRPr="000A6B0A">
        <w:rPr>
          <w:rFonts w:asciiTheme="minorHAnsi" w:hAnsiTheme="minorHAnsi"/>
          <w:noProof/>
          <w:sz w:val="22"/>
          <w:szCs w:val="22"/>
          <w:lang w:val="en-GB"/>
        </w:rPr>
        <w:t xml:space="preserve"> and Swiss</w:t>
      </w:r>
      <w:r w:rsidR="00580C20" w:rsidRPr="000A6B0A">
        <w:rPr>
          <w:rFonts w:asciiTheme="minorHAnsi" w:hAnsiTheme="minorHAnsi"/>
          <w:noProof/>
          <w:sz w:val="22"/>
          <w:szCs w:val="22"/>
          <w:lang w:val="en-GB"/>
        </w:rPr>
        <w:t xml:space="preserve"> regulatory bodies) </w:t>
      </w:r>
      <w:r w:rsidRPr="000A6B0A">
        <w:rPr>
          <w:rFonts w:asciiTheme="minorHAnsi" w:hAnsiTheme="minorHAnsi"/>
          <w:noProof/>
          <w:sz w:val="22"/>
          <w:szCs w:val="22"/>
          <w:lang w:val="en-GB"/>
        </w:rPr>
        <w:t xml:space="preserve">are only responsible for the regulation of the railway market, some members have a wider spectrum of responsibilities in the transport sector. For example, the Belgium regulatory </w:t>
      </w:r>
      <w:r w:rsidR="00DC105B" w:rsidRPr="000A6B0A">
        <w:rPr>
          <w:rFonts w:asciiTheme="minorHAnsi" w:hAnsiTheme="minorHAnsi"/>
          <w:noProof/>
          <w:sz w:val="22"/>
          <w:szCs w:val="22"/>
          <w:lang w:val="en-GB"/>
        </w:rPr>
        <w:t>body</w:t>
      </w:r>
      <w:r w:rsidRPr="000A6B0A">
        <w:rPr>
          <w:rFonts w:asciiTheme="minorHAnsi" w:hAnsiTheme="minorHAnsi"/>
          <w:noProof/>
          <w:sz w:val="22"/>
          <w:szCs w:val="22"/>
          <w:lang w:val="en-GB"/>
        </w:rPr>
        <w:t xml:space="preserve"> also regulates Brussels Airport Operations. In Italy, the </w:t>
      </w:r>
      <w:r w:rsidR="00F66D0D" w:rsidRPr="000A6B0A">
        <w:rPr>
          <w:rFonts w:asciiTheme="minorHAnsi" w:hAnsiTheme="minorHAnsi"/>
          <w:i/>
          <w:noProof/>
          <w:sz w:val="22"/>
          <w:szCs w:val="22"/>
          <w:lang w:val="en-GB"/>
        </w:rPr>
        <w:t>Autorità di Regolazione dei Trasporti</w:t>
      </w:r>
      <w:r w:rsidR="00F66D0D" w:rsidRPr="000A6B0A">
        <w:rPr>
          <w:rFonts w:asciiTheme="minorHAnsi" w:hAnsiTheme="minorHAnsi"/>
          <w:noProof/>
          <w:sz w:val="22"/>
          <w:szCs w:val="22"/>
          <w:lang w:val="en-GB"/>
        </w:rPr>
        <w:t xml:space="preserve"> </w:t>
      </w:r>
      <w:r w:rsidRPr="000A6B0A">
        <w:rPr>
          <w:rFonts w:asciiTheme="minorHAnsi" w:hAnsiTheme="minorHAnsi"/>
          <w:noProof/>
          <w:sz w:val="22"/>
          <w:szCs w:val="22"/>
          <w:lang w:val="en-GB"/>
        </w:rPr>
        <w:t>(ART)</w:t>
      </w:r>
      <w:r w:rsidR="00C831A2" w:rsidRPr="000A6B0A">
        <w:rPr>
          <w:rFonts w:asciiTheme="minorHAnsi" w:hAnsiTheme="minorHAnsi"/>
          <w:noProof/>
          <w:sz w:val="22"/>
          <w:szCs w:val="22"/>
          <w:lang w:val="en-GB"/>
        </w:rPr>
        <w:t>, beside railways,</w:t>
      </w:r>
      <w:r w:rsidRPr="000A6B0A">
        <w:rPr>
          <w:rFonts w:asciiTheme="minorHAnsi" w:hAnsiTheme="minorHAnsi"/>
          <w:noProof/>
          <w:sz w:val="22"/>
          <w:szCs w:val="22"/>
          <w:lang w:val="en-GB"/>
        </w:rPr>
        <w:t xml:space="preserve"> is</w:t>
      </w:r>
      <w:r w:rsidR="00C831A2" w:rsidRPr="000A6B0A">
        <w:rPr>
          <w:rFonts w:asciiTheme="minorHAnsi" w:hAnsiTheme="minorHAnsi"/>
          <w:noProof/>
          <w:sz w:val="22"/>
          <w:szCs w:val="22"/>
          <w:lang w:val="en-GB"/>
        </w:rPr>
        <w:t xml:space="preserve"> also</w:t>
      </w:r>
      <w:r w:rsidRPr="000A6B0A">
        <w:rPr>
          <w:rFonts w:asciiTheme="minorHAnsi" w:hAnsiTheme="minorHAnsi"/>
          <w:noProof/>
          <w:sz w:val="22"/>
          <w:szCs w:val="22"/>
          <w:lang w:val="en-GB"/>
        </w:rPr>
        <w:t xml:space="preserve"> in charge of airports, highways, </w:t>
      </w:r>
      <w:r w:rsidR="00D130AD" w:rsidRPr="000A6B0A">
        <w:rPr>
          <w:rFonts w:asciiTheme="minorHAnsi" w:hAnsiTheme="minorHAnsi"/>
          <w:noProof/>
          <w:sz w:val="22"/>
          <w:szCs w:val="22"/>
          <w:lang w:val="en-GB"/>
        </w:rPr>
        <w:t>local public transport (buses</w:t>
      </w:r>
      <w:r w:rsidR="00C047DE">
        <w:rPr>
          <w:rFonts w:asciiTheme="minorHAnsi" w:hAnsiTheme="minorHAnsi"/>
          <w:noProof/>
          <w:sz w:val="22"/>
          <w:szCs w:val="22"/>
          <w:lang w:val="en-GB"/>
        </w:rPr>
        <w:t>, trains, metro, maritime</w:t>
      </w:r>
      <w:r w:rsidR="00D130AD" w:rsidRPr="000A6B0A">
        <w:rPr>
          <w:rFonts w:asciiTheme="minorHAnsi" w:hAnsiTheme="minorHAnsi"/>
          <w:noProof/>
          <w:sz w:val="22"/>
          <w:szCs w:val="22"/>
          <w:lang w:val="en-GB"/>
        </w:rPr>
        <w:t xml:space="preserve"> and, under some respects, taxi) </w:t>
      </w:r>
      <w:r w:rsidRPr="000A6B0A">
        <w:rPr>
          <w:rFonts w:asciiTheme="minorHAnsi" w:hAnsiTheme="minorHAnsi"/>
          <w:noProof/>
          <w:sz w:val="22"/>
          <w:szCs w:val="22"/>
          <w:lang w:val="en-GB"/>
        </w:rPr>
        <w:t xml:space="preserve">and ports. </w:t>
      </w:r>
      <w:r w:rsidR="005A3594" w:rsidRPr="000A6B0A">
        <w:rPr>
          <w:rFonts w:asciiTheme="minorHAnsi" w:hAnsiTheme="minorHAnsi"/>
          <w:noProof/>
          <w:sz w:val="22"/>
          <w:szCs w:val="22"/>
          <w:lang w:val="en-GB"/>
        </w:rPr>
        <w:t xml:space="preserve">The Slovakian Transport </w:t>
      </w:r>
      <w:r w:rsidR="00C831A2" w:rsidRPr="000A6B0A">
        <w:rPr>
          <w:rFonts w:asciiTheme="minorHAnsi" w:hAnsiTheme="minorHAnsi"/>
          <w:noProof/>
          <w:sz w:val="22"/>
          <w:szCs w:val="22"/>
          <w:lang w:val="en-GB"/>
        </w:rPr>
        <w:t>A</w:t>
      </w:r>
      <w:r w:rsidR="005A3594" w:rsidRPr="000A6B0A">
        <w:rPr>
          <w:rFonts w:asciiTheme="minorHAnsi" w:hAnsiTheme="minorHAnsi"/>
          <w:noProof/>
          <w:sz w:val="22"/>
          <w:szCs w:val="22"/>
          <w:lang w:val="en-GB"/>
        </w:rPr>
        <w:t xml:space="preserve">uthority is also responsible for air and water transports. </w:t>
      </w:r>
      <w:r w:rsidR="00DC105B" w:rsidRPr="000A6B0A">
        <w:rPr>
          <w:rFonts w:asciiTheme="minorHAnsi" w:hAnsiTheme="minorHAnsi"/>
          <w:noProof/>
          <w:sz w:val="22"/>
          <w:szCs w:val="22"/>
          <w:lang w:val="en-GB"/>
        </w:rPr>
        <w:t>The</w:t>
      </w:r>
      <w:r w:rsidRPr="000A6B0A">
        <w:rPr>
          <w:rFonts w:asciiTheme="minorHAnsi" w:hAnsiTheme="minorHAnsi"/>
          <w:noProof/>
          <w:sz w:val="22"/>
          <w:szCs w:val="22"/>
          <w:lang w:val="en-GB"/>
        </w:rPr>
        <w:t xml:space="preserve"> Swedish Transport Agency is the </w:t>
      </w:r>
      <w:r w:rsidR="00580C20" w:rsidRPr="000A6B0A">
        <w:rPr>
          <w:rFonts w:asciiTheme="minorHAnsi" w:hAnsiTheme="minorHAnsi"/>
          <w:noProof/>
          <w:sz w:val="22"/>
          <w:szCs w:val="22"/>
          <w:lang w:val="en-GB"/>
        </w:rPr>
        <w:t>regulatory body for rail, roads,</w:t>
      </w:r>
      <w:r w:rsidRPr="000A6B0A">
        <w:rPr>
          <w:rFonts w:asciiTheme="minorHAnsi" w:hAnsiTheme="minorHAnsi"/>
          <w:noProof/>
          <w:sz w:val="22"/>
          <w:szCs w:val="22"/>
          <w:lang w:val="en-GB"/>
        </w:rPr>
        <w:t xml:space="preserve"> maritime routes, and the whole aviation sector. The French regulatory </w:t>
      </w:r>
      <w:r w:rsidR="00420D3F" w:rsidRPr="000A6B0A">
        <w:rPr>
          <w:rFonts w:asciiTheme="minorHAnsi" w:hAnsiTheme="minorHAnsi"/>
          <w:noProof/>
          <w:sz w:val="22"/>
          <w:szCs w:val="22"/>
          <w:lang w:val="en-GB"/>
        </w:rPr>
        <w:t>body</w:t>
      </w:r>
      <w:r w:rsidRPr="000A6B0A">
        <w:rPr>
          <w:rFonts w:asciiTheme="minorHAnsi" w:hAnsiTheme="minorHAnsi"/>
          <w:noProof/>
          <w:sz w:val="22"/>
          <w:szCs w:val="22"/>
          <w:lang w:val="en-GB"/>
        </w:rPr>
        <w:t xml:space="preserve"> is in charge of the rail, road and coach sector regulation, while the UK regulator has a monitoring function for roads too.</w:t>
      </w:r>
      <w:r w:rsidR="00C34E0E" w:rsidRPr="00C34E0E">
        <w:rPr>
          <w:rFonts w:asciiTheme="minorHAnsi" w:hAnsiTheme="minorHAnsi"/>
          <w:noProof/>
          <w:sz w:val="22"/>
          <w:szCs w:val="22"/>
          <w:lang w:val="en-GB"/>
        </w:rPr>
        <w:t xml:space="preserve"> </w:t>
      </w:r>
      <w:r w:rsidR="00C34E0E">
        <w:rPr>
          <w:rFonts w:asciiTheme="minorHAnsi" w:hAnsiTheme="minorHAnsi"/>
          <w:noProof/>
          <w:sz w:val="22"/>
          <w:szCs w:val="22"/>
          <w:lang w:val="en-GB"/>
        </w:rPr>
        <w:t>The Portuguese Regulator (AMT) is in charge for land transport and roadway infraestructure, railway regulation, regarding infrastructure managers and rail transport operators, commercial ports and maritime and waterway transport.</w:t>
      </w:r>
    </w:p>
    <w:p w:rsidR="000D2D45" w:rsidRPr="000A6B0A" w:rsidRDefault="000D2D45" w:rsidP="000D2D45">
      <w:pPr>
        <w:spacing w:line="276" w:lineRule="auto"/>
        <w:jc w:val="both"/>
        <w:rPr>
          <w:rFonts w:asciiTheme="minorHAnsi" w:hAnsiTheme="minorHAnsi"/>
          <w:noProof/>
          <w:sz w:val="22"/>
          <w:szCs w:val="22"/>
          <w:lang w:val="en-GB"/>
        </w:rPr>
      </w:pPr>
    </w:p>
    <w:p w:rsidR="00A202CC" w:rsidRPr="000A6B0A" w:rsidRDefault="00420D3F" w:rsidP="00A202CC">
      <w:pPr>
        <w:spacing w:line="276" w:lineRule="auto"/>
        <w:jc w:val="both"/>
        <w:rPr>
          <w:rFonts w:asciiTheme="minorHAnsi" w:hAnsiTheme="minorHAnsi"/>
          <w:noProof/>
          <w:sz w:val="22"/>
          <w:szCs w:val="22"/>
          <w:lang w:val="en-GB"/>
        </w:rPr>
      </w:pPr>
      <w:r w:rsidRPr="000A6B0A">
        <w:rPr>
          <w:rFonts w:asciiTheme="minorHAnsi" w:hAnsiTheme="minorHAnsi"/>
          <w:noProof/>
          <w:sz w:val="22"/>
          <w:szCs w:val="22"/>
          <w:lang w:val="en-GB"/>
        </w:rPr>
        <w:t>A</w:t>
      </w:r>
      <w:r w:rsidR="000D2D45" w:rsidRPr="000A6B0A">
        <w:rPr>
          <w:rFonts w:asciiTheme="minorHAnsi" w:hAnsiTheme="minorHAnsi"/>
          <w:noProof/>
          <w:sz w:val="22"/>
          <w:szCs w:val="22"/>
          <w:lang w:val="en-GB"/>
        </w:rPr>
        <w:t xml:space="preserve"> few regulatory bodies are also responsible for the regulation of other network industries such as telecommunications and postal services as in Slovenia, the Netherlands or Germany. For the latter, the energy sector </w:t>
      </w:r>
      <w:r w:rsidR="00A202CC" w:rsidRPr="000A6B0A">
        <w:rPr>
          <w:rFonts w:asciiTheme="minorHAnsi" w:hAnsiTheme="minorHAnsi"/>
          <w:noProof/>
          <w:sz w:val="22"/>
          <w:szCs w:val="22"/>
          <w:lang w:val="en-GB"/>
        </w:rPr>
        <w:t>(electricity and gas)</w:t>
      </w:r>
      <w:r w:rsidR="00495EEB">
        <w:rPr>
          <w:rFonts w:asciiTheme="minorHAnsi" w:hAnsiTheme="minorHAnsi"/>
          <w:noProof/>
          <w:sz w:val="22"/>
          <w:szCs w:val="22"/>
          <w:lang w:val="en-GB"/>
        </w:rPr>
        <w:t xml:space="preserve"> </w:t>
      </w:r>
      <w:r w:rsidR="00A202CC" w:rsidRPr="000A6B0A">
        <w:rPr>
          <w:rFonts w:asciiTheme="minorHAnsi" w:hAnsiTheme="minorHAnsi"/>
          <w:noProof/>
          <w:sz w:val="22"/>
          <w:szCs w:val="22"/>
          <w:lang w:val="en-GB"/>
        </w:rPr>
        <w:t>and energy grid expansion are also part of the regulatory body’s competencies.</w:t>
      </w:r>
      <w:r w:rsidR="00984D5C" w:rsidRPr="000A6B0A">
        <w:rPr>
          <w:rFonts w:asciiTheme="minorHAnsi" w:hAnsiTheme="minorHAnsi"/>
          <w:noProof/>
          <w:sz w:val="22"/>
          <w:szCs w:val="22"/>
          <w:lang w:val="en-GB"/>
        </w:rPr>
        <w:t xml:space="preserve"> </w:t>
      </w:r>
      <w:r w:rsidR="004D3B5C" w:rsidRPr="000A6B0A">
        <w:rPr>
          <w:rFonts w:asciiTheme="minorHAnsi" w:hAnsiTheme="minorHAnsi"/>
          <w:noProof/>
          <w:sz w:val="22"/>
          <w:szCs w:val="22"/>
          <w:lang w:val="en-GB"/>
        </w:rPr>
        <w:t xml:space="preserve">The Spanish </w:t>
      </w:r>
      <w:r w:rsidR="00FF7B6C">
        <w:rPr>
          <w:rFonts w:asciiTheme="minorHAnsi" w:hAnsiTheme="minorHAnsi"/>
          <w:noProof/>
          <w:sz w:val="22"/>
          <w:szCs w:val="22"/>
          <w:lang w:val="en-GB"/>
        </w:rPr>
        <w:t xml:space="preserve">and the Romanian </w:t>
      </w:r>
      <w:r w:rsidR="002123F8">
        <w:rPr>
          <w:rFonts w:asciiTheme="minorHAnsi" w:hAnsiTheme="minorHAnsi"/>
          <w:noProof/>
          <w:sz w:val="22"/>
          <w:szCs w:val="22"/>
          <w:lang w:val="en-GB"/>
        </w:rPr>
        <w:t>r</w:t>
      </w:r>
      <w:r w:rsidR="004D3B5C" w:rsidRPr="000A6B0A">
        <w:rPr>
          <w:rFonts w:asciiTheme="minorHAnsi" w:hAnsiTheme="minorHAnsi"/>
          <w:noProof/>
          <w:sz w:val="22"/>
          <w:szCs w:val="22"/>
          <w:lang w:val="en-GB"/>
        </w:rPr>
        <w:t xml:space="preserve">egulatory </w:t>
      </w:r>
      <w:r w:rsidR="002123F8">
        <w:rPr>
          <w:rFonts w:asciiTheme="minorHAnsi" w:hAnsiTheme="minorHAnsi"/>
          <w:noProof/>
          <w:sz w:val="22"/>
          <w:szCs w:val="22"/>
          <w:lang w:val="en-GB"/>
        </w:rPr>
        <w:t>b</w:t>
      </w:r>
      <w:r w:rsidR="004D3B5C" w:rsidRPr="000A6B0A">
        <w:rPr>
          <w:rFonts w:asciiTheme="minorHAnsi" w:hAnsiTheme="minorHAnsi"/>
          <w:noProof/>
          <w:sz w:val="22"/>
          <w:szCs w:val="22"/>
          <w:lang w:val="en-GB"/>
        </w:rPr>
        <w:t>od</w:t>
      </w:r>
      <w:r w:rsidR="00FF7B6C">
        <w:rPr>
          <w:rFonts w:asciiTheme="minorHAnsi" w:hAnsiTheme="minorHAnsi"/>
          <w:noProof/>
          <w:sz w:val="22"/>
          <w:szCs w:val="22"/>
          <w:lang w:val="en-GB"/>
        </w:rPr>
        <w:t>ies</w:t>
      </w:r>
      <w:r w:rsidR="004D3B5C" w:rsidRPr="000A6B0A">
        <w:rPr>
          <w:rFonts w:asciiTheme="minorHAnsi" w:hAnsiTheme="minorHAnsi"/>
          <w:noProof/>
          <w:sz w:val="22"/>
          <w:szCs w:val="22"/>
          <w:lang w:val="en-GB"/>
        </w:rPr>
        <w:t xml:space="preserve"> </w:t>
      </w:r>
      <w:r w:rsidR="00FF7B6C">
        <w:rPr>
          <w:rFonts w:asciiTheme="minorHAnsi" w:hAnsiTheme="minorHAnsi"/>
          <w:noProof/>
          <w:sz w:val="22"/>
          <w:szCs w:val="22"/>
          <w:lang w:val="en-GB"/>
        </w:rPr>
        <w:t>are</w:t>
      </w:r>
      <w:r w:rsidR="004D3B5C" w:rsidRPr="000A6B0A">
        <w:rPr>
          <w:rFonts w:asciiTheme="minorHAnsi" w:hAnsiTheme="minorHAnsi"/>
          <w:noProof/>
          <w:sz w:val="22"/>
          <w:szCs w:val="22"/>
          <w:lang w:val="en-GB"/>
        </w:rPr>
        <w:t xml:space="preserve"> also in charge of more general competition-related issues.</w:t>
      </w:r>
    </w:p>
    <w:p w:rsidR="00420D3F" w:rsidRPr="000A6B0A" w:rsidRDefault="00420D3F" w:rsidP="00420D3F">
      <w:pPr>
        <w:spacing w:line="276" w:lineRule="auto"/>
        <w:jc w:val="both"/>
        <w:rPr>
          <w:rFonts w:asciiTheme="minorHAnsi" w:hAnsiTheme="minorHAnsi"/>
          <w:noProof/>
          <w:sz w:val="22"/>
          <w:szCs w:val="22"/>
          <w:lang w:val="en-GB"/>
        </w:rPr>
      </w:pPr>
    </w:p>
    <w:p w:rsidR="00420D3F" w:rsidRPr="0086605D" w:rsidRDefault="00420D3F">
      <w:pPr>
        <w:spacing w:line="276" w:lineRule="auto"/>
        <w:jc w:val="both"/>
        <w:rPr>
          <w:rFonts w:ascii="Times New Roman" w:hAnsi="Times New Roman" w:cs="Times New Roman"/>
          <w:sz w:val="24"/>
          <w:szCs w:val="24"/>
          <w:lang w:val="en-US" w:eastAsia="fr-FR"/>
        </w:rPr>
      </w:pPr>
      <w:r w:rsidRPr="000A6B0A">
        <w:rPr>
          <w:rFonts w:asciiTheme="minorHAnsi" w:hAnsiTheme="minorHAnsi"/>
          <w:noProof/>
          <w:sz w:val="22"/>
          <w:szCs w:val="22"/>
          <w:lang w:val="en-GB"/>
        </w:rPr>
        <w:lastRenderedPageBreak/>
        <w:t>Within the railway sector, IRG-Rail members can also be responsible for issues</w:t>
      </w:r>
      <w:r w:rsidR="00FD3FA0" w:rsidRPr="000A6B0A">
        <w:rPr>
          <w:rFonts w:asciiTheme="minorHAnsi" w:hAnsiTheme="minorHAnsi"/>
          <w:noProof/>
          <w:sz w:val="22"/>
          <w:szCs w:val="22"/>
          <w:lang w:val="en-GB"/>
        </w:rPr>
        <w:t xml:space="preserve"> other than economic regulation</w:t>
      </w:r>
      <w:r w:rsidRPr="000A6B0A">
        <w:rPr>
          <w:rFonts w:asciiTheme="minorHAnsi" w:hAnsiTheme="minorHAnsi"/>
          <w:noProof/>
          <w:sz w:val="22"/>
          <w:szCs w:val="22"/>
          <w:lang w:val="en-GB"/>
        </w:rPr>
        <w:t xml:space="preserve"> such as licensing in Greece, passenger complaints in Austria</w:t>
      </w:r>
      <w:r w:rsidR="003712A4" w:rsidRPr="000A6B0A">
        <w:rPr>
          <w:rFonts w:asciiTheme="minorHAnsi" w:hAnsiTheme="minorHAnsi"/>
          <w:noProof/>
          <w:sz w:val="22"/>
          <w:szCs w:val="22"/>
          <w:lang w:val="en-GB"/>
        </w:rPr>
        <w:t>, Slovenia</w:t>
      </w:r>
      <w:r w:rsidR="00C34E0E">
        <w:rPr>
          <w:rFonts w:asciiTheme="minorHAnsi" w:hAnsiTheme="minorHAnsi"/>
          <w:noProof/>
          <w:sz w:val="22"/>
          <w:szCs w:val="22"/>
          <w:lang w:val="en-GB"/>
        </w:rPr>
        <w:t>, Portugal</w:t>
      </w:r>
      <w:r w:rsidR="003712A4" w:rsidRPr="000A6B0A">
        <w:rPr>
          <w:rFonts w:asciiTheme="minorHAnsi" w:hAnsiTheme="minorHAnsi"/>
          <w:noProof/>
          <w:sz w:val="22"/>
          <w:szCs w:val="22"/>
          <w:lang w:val="en-GB"/>
        </w:rPr>
        <w:t xml:space="preserve"> and</w:t>
      </w:r>
      <w:r w:rsidR="00D130AD" w:rsidRPr="000A6B0A">
        <w:rPr>
          <w:rFonts w:asciiTheme="minorHAnsi" w:hAnsiTheme="minorHAnsi"/>
          <w:noProof/>
          <w:sz w:val="22"/>
          <w:szCs w:val="22"/>
          <w:lang w:val="en-GB"/>
        </w:rPr>
        <w:t xml:space="preserve"> Italy</w:t>
      </w:r>
      <w:r w:rsidR="00C047DE">
        <w:rPr>
          <w:rStyle w:val="Appelnotedebasdep"/>
          <w:rFonts w:asciiTheme="minorHAnsi" w:hAnsiTheme="minorHAnsi"/>
          <w:noProof/>
          <w:sz w:val="22"/>
          <w:szCs w:val="22"/>
          <w:lang w:val="en-GB"/>
        </w:rPr>
        <w:footnoteReference w:id="57"/>
      </w:r>
      <w:r w:rsidR="00C047DE" w:rsidRPr="0086605D">
        <w:rPr>
          <w:rFonts w:ascii="Times New Roman" w:hAnsi="Times New Roman" w:cs="Times New Roman"/>
          <w:sz w:val="24"/>
          <w:szCs w:val="24"/>
          <w:lang w:val="en-US" w:eastAsia="fr-FR"/>
        </w:rPr>
        <w:t xml:space="preserve"> </w:t>
      </w:r>
      <w:r w:rsidR="005A3594" w:rsidRPr="000A6B0A">
        <w:rPr>
          <w:rFonts w:asciiTheme="minorHAnsi" w:hAnsiTheme="minorHAnsi"/>
          <w:noProof/>
          <w:sz w:val="22"/>
          <w:szCs w:val="22"/>
          <w:lang w:val="en-GB"/>
        </w:rPr>
        <w:t>or safety as in Slovakia</w:t>
      </w:r>
      <w:r w:rsidRPr="000A6B0A">
        <w:rPr>
          <w:rFonts w:asciiTheme="minorHAnsi" w:hAnsiTheme="minorHAnsi"/>
          <w:noProof/>
          <w:sz w:val="22"/>
          <w:szCs w:val="22"/>
          <w:lang w:val="en-GB"/>
        </w:rPr>
        <w:t xml:space="preserve">. Both in the </w:t>
      </w:r>
      <w:r w:rsidRPr="00920176">
        <w:rPr>
          <w:rFonts w:asciiTheme="minorHAnsi" w:hAnsiTheme="minorHAnsi"/>
          <w:noProof/>
          <w:sz w:val="22"/>
          <w:szCs w:val="22"/>
          <w:lang w:val="en-GB"/>
        </w:rPr>
        <w:t xml:space="preserve">UK and Poland, the regulatory body is responsible for economic rail market regulation, licensing, safety </w:t>
      </w:r>
      <w:r w:rsidRPr="000A6B0A">
        <w:rPr>
          <w:rFonts w:asciiTheme="minorHAnsi" w:hAnsiTheme="minorHAnsi"/>
          <w:noProof/>
          <w:sz w:val="22"/>
          <w:szCs w:val="22"/>
          <w:lang w:val="en-GB"/>
        </w:rPr>
        <w:t xml:space="preserve">regulation and passenger rights. </w:t>
      </w:r>
      <w:r w:rsidR="002123F8">
        <w:rPr>
          <w:rFonts w:asciiTheme="minorHAnsi" w:hAnsiTheme="minorHAnsi"/>
          <w:noProof/>
          <w:sz w:val="22"/>
          <w:szCs w:val="22"/>
          <w:lang w:val="en-GB"/>
        </w:rPr>
        <w:t xml:space="preserve">In the UK, the regulator also acts as the competition authority for rail related matters. </w:t>
      </w:r>
      <w:r w:rsidRPr="000A6B0A">
        <w:rPr>
          <w:rFonts w:asciiTheme="minorHAnsi" w:hAnsiTheme="minorHAnsi"/>
          <w:noProof/>
          <w:sz w:val="22"/>
          <w:szCs w:val="22"/>
          <w:lang w:val="en-GB"/>
        </w:rPr>
        <w:t xml:space="preserve">The </w:t>
      </w:r>
      <w:r w:rsidRPr="00920176">
        <w:rPr>
          <w:rFonts w:asciiTheme="minorHAnsi" w:hAnsiTheme="minorHAnsi"/>
          <w:noProof/>
          <w:sz w:val="22"/>
          <w:szCs w:val="22"/>
          <w:lang w:val="en-GB"/>
        </w:rPr>
        <w:t>Swedish</w:t>
      </w:r>
      <w:r w:rsidRPr="000A6B0A">
        <w:rPr>
          <w:rFonts w:asciiTheme="minorHAnsi" w:hAnsiTheme="minorHAnsi"/>
          <w:noProof/>
          <w:sz w:val="22"/>
          <w:szCs w:val="22"/>
          <w:lang w:val="en-GB"/>
        </w:rPr>
        <w:t xml:space="preserve"> Transport Agency is also the National Safety Agency (NSA) in charge of licensing and safety regulation.</w:t>
      </w:r>
      <w:r w:rsidR="00984D5C" w:rsidRPr="00A56CA1">
        <w:rPr>
          <w:rFonts w:asciiTheme="minorHAnsi" w:hAnsiTheme="minorHAnsi"/>
          <w:noProof/>
          <w:sz w:val="22"/>
          <w:szCs w:val="22"/>
          <w:lang w:val="en-GB"/>
        </w:rPr>
        <w:t xml:space="preserve"> In Hungary, the </w:t>
      </w:r>
      <w:r w:rsidR="00FD3FA0" w:rsidRPr="00A56CA1">
        <w:rPr>
          <w:rFonts w:asciiTheme="minorHAnsi" w:hAnsiTheme="minorHAnsi"/>
          <w:noProof/>
          <w:sz w:val="22"/>
          <w:szCs w:val="22"/>
          <w:lang w:val="en-GB"/>
        </w:rPr>
        <w:t>regula</w:t>
      </w:r>
      <w:r w:rsidR="00984D5C" w:rsidRPr="00920176">
        <w:rPr>
          <w:rFonts w:asciiTheme="minorHAnsi" w:hAnsiTheme="minorHAnsi"/>
          <w:noProof/>
          <w:sz w:val="22"/>
          <w:szCs w:val="22"/>
          <w:lang w:val="en-GB"/>
        </w:rPr>
        <w:t>t</w:t>
      </w:r>
      <w:r w:rsidR="00FD3FA0" w:rsidRPr="00920176">
        <w:rPr>
          <w:rFonts w:asciiTheme="minorHAnsi" w:hAnsiTheme="minorHAnsi"/>
          <w:noProof/>
          <w:sz w:val="22"/>
          <w:szCs w:val="22"/>
          <w:lang w:val="en-GB"/>
        </w:rPr>
        <w:t>ory b</w:t>
      </w:r>
      <w:r w:rsidR="00984D5C" w:rsidRPr="00920176">
        <w:rPr>
          <w:rFonts w:asciiTheme="minorHAnsi" w:hAnsiTheme="minorHAnsi"/>
          <w:noProof/>
          <w:sz w:val="22"/>
          <w:szCs w:val="22"/>
          <w:lang w:val="en-GB"/>
        </w:rPr>
        <w:t>ody is also in charge for licensing and passenger rights, and operates within the H</w:t>
      </w:r>
      <w:r w:rsidR="00984D5C" w:rsidRPr="00B35F2F">
        <w:rPr>
          <w:rFonts w:asciiTheme="minorHAnsi" w:hAnsiTheme="minorHAnsi"/>
          <w:noProof/>
          <w:sz w:val="22"/>
          <w:szCs w:val="22"/>
          <w:lang w:val="en-GB"/>
        </w:rPr>
        <w:t>ungarian Transport Authority that is responsible for rail safety regulation and road, shipping and aviation issues as well.</w:t>
      </w:r>
    </w:p>
    <w:p w:rsidR="00603222" w:rsidRPr="000A6B0A" w:rsidRDefault="00603222" w:rsidP="00603222">
      <w:pPr>
        <w:spacing w:line="276" w:lineRule="auto"/>
        <w:jc w:val="both"/>
        <w:rPr>
          <w:rFonts w:asciiTheme="minorHAnsi" w:hAnsiTheme="minorHAnsi"/>
          <w:noProof/>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i/>
          <w:noProof/>
          <w:sz w:val="22"/>
          <w:szCs w:val="22"/>
          <w:lang w:val="en-GB"/>
        </w:rPr>
      </w:pPr>
      <w:r w:rsidRPr="000A6B0A">
        <w:rPr>
          <w:rFonts w:asciiTheme="minorHAnsi" w:hAnsiTheme="minorHAnsi"/>
          <w:i/>
          <w:noProof/>
          <w:sz w:val="22"/>
          <w:szCs w:val="22"/>
          <w:lang w:val="en-GB"/>
        </w:rPr>
        <w:t>Regulation regime for charges foreseen by national law</w:t>
      </w:r>
    </w:p>
    <w:p w:rsidR="000D2D45" w:rsidRPr="000A6B0A" w:rsidRDefault="000D2D45" w:rsidP="000D2D45">
      <w:pPr>
        <w:spacing w:line="276" w:lineRule="auto"/>
        <w:jc w:val="both"/>
        <w:rPr>
          <w:rFonts w:asciiTheme="minorHAnsi" w:hAnsiTheme="minorHAnsi"/>
          <w:noProof/>
          <w:sz w:val="22"/>
          <w:szCs w:val="22"/>
          <w:lang w:val="en-GB"/>
        </w:rPr>
      </w:pPr>
    </w:p>
    <w:p w:rsidR="00D130AD" w:rsidRPr="000A6B0A" w:rsidRDefault="00420D3F" w:rsidP="00D130A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most countries, the regulatory regime for charges intended by national law is based on a direct cost regime. Most </w:t>
      </w:r>
      <w:r w:rsidR="00495EEB">
        <w:rPr>
          <w:rFonts w:asciiTheme="minorHAnsi" w:hAnsiTheme="minorHAnsi"/>
          <w:sz w:val="22"/>
          <w:szCs w:val="22"/>
          <w:lang w:val="en-GB"/>
        </w:rPr>
        <w:t xml:space="preserve">IM of the </w:t>
      </w:r>
      <w:r w:rsidRPr="000A6B0A">
        <w:rPr>
          <w:rFonts w:asciiTheme="minorHAnsi" w:hAnsiTheme="minorHAnsi"/>
          <w:sz w:val="22"/>
          <w:szCs w:val="22"/>
          <w:lang w:val="en-GB"/>
        </w:rPr>
        <w:t>IRG-Rail members have a multi-part charging structure. However, the approach to mark-ups on direct costs differs among IRG-rail countries. In fact, mark-ups are not applied in many countries and, when implemented, they appear to diverge across countries.</w:t>
      </w:r>
      <w:r w:rsidR="00D130AD" w:rsidRPr="000A6B0A">
        <w:rPr>
          <w:rFonts w:asciiTheme="minorHAnsi" w:hAnsiTheme="minorHAnsi"/>
          <w:sz w:val="22"/>
          <w:szCs w:val="22"/>
          <w:lang w:val="en-GB"/>
        </w:rPr>
        <w:t xml:space="preserve"> This is also related to the choices as to public investment in the railway network that vary across countries</w:t>
      </w:r>
      <w:r w:rsidR="00D93B1E" w:rsidRPr="000A6B0A">
        <w:rPr>
          <w:rFonts w:asciiTheme="minorHAnsi" w:hAnsiTheme="minorHAnsi"/>
          <w:sz w:val="22"/>
          <w:szCs w:val="22"/>
          <w:lang w:val="en-GB"/>
        </w:rPr>
        <w:t xml:space="preserve"> (see Section 3.4 for a more thorough </w:t>
      </w:r>
      <w:r w:rsidR="00C047DE">
        <w:rPr>
          <w:rFonts w:asciiTheme="minorHAnsi" w:hAnsiTheme="minorHAnsi"/>
          <w:sz w:val="22"/>
          <w:szCs w:val="22"/>
          <w:lang w:val="en-GB"/>
        </w:rPr>
        <w:t>analysis</w:t>
      </w:r>
      <w:r w:rsidR="00C047DE" w:rsidRPr="000A6B0A">
        <w:rPr>
          <w:rFonts w:asciiTheme="minorHAnsi" w:hAnsiTheme="minorHAnsi"/>
          <w:sz w:val="22"/>
          <w:szCs w:val="22"/>
          <w:lang w:val="en-GB"/>
        </w:rPr>
        <w:t xml:space="preserve"> </w:t>
      </w:r>
      <w:r w:rsidR="00D93B1E" w:rsidRPr="000A6B0A">
        <w:rPr>
          <w:rFonts w:asciiTheme="minorHAnsi" w:hAnsiTheme="minorHAnsi"/>
          <w:sz w:val="22"/>
          <w:szCs w:val="22"/>
          <w:lang w:val="en-GB"/>
        </w:rPr>
        <w:t>on the impact of public compensation on charges)</w:t>
      </w:r>
      <w:r w:rsidR="00D130AD"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B26AF2" w:rsidRDefault="00603222"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Depending on the number of </w:t>
      </w:r>
      <w:r w:rsidR="002123F8">
        <w:rPr>
          <w:rFonts w:asciiTheme="minorHAnsi" w:hAnsiTheme="minorHAnsi"/>
          <w:sz w:val="22"/>
          <w:szCs w:val="22"/>
          <w:lang w:val="en-GB"/>
        </w:rPr>
        <w:t>IMs</w:t>
      </w:r>
      <w:r w:rsidRPr="000A6B0A">
        <w:rPr>
          <w:rFonts w:asciiTheme="minorHAnsi" w:hAnsiTheme="minorHAnsi"/>
          <w:sz w:val="22"/>
          <w:szCs w:val="22"/>
          <w:lang w:val="en-GB"/>
        </w:rPr>
        <w:t xml:space="preserve"> in each country, charging practices may also differ within an individual IRG-Rail Member </w:t>
      </w:r>
      <w:r w:rsidR="00C047DE">
        <w:rPr>
          <w:rFonts w:asciiTheme="minorHAnsi" w:hAnsiTheme="minorHAnsi"/>
          <w:sz w:val="22"/>
          <w:szCs w:val="22"/>
          <w:lang w:val="en-GB"/>
        </w:rPr>
        <w:t>S</w:t>
      </w:r>
      <w:r w:rsidRPr="000A6B0A">
        <w:rPr>
          <w:rFonts w:asciiTheme="minorHAnsi" w:hAnsiTheme="minorHAnsi"/>
          <w:sz w:val="22"/>
          <w:szCs w:val="22"/>
          <w:lang w:val="en-GB"/>
        </w:rPr>
        <w:t xml:space="preserve">tate. </w:t>
      </w:r>
    </w:p>
    <w:p w:rsidR="00B26AF2" w:rsidRDefault="00B26AF2" w:rsidP="000D2D45">
      <w:pPr>
        <w:spacing w:line="276" w:lineRule="auto"/>
        <w:jc w:val="both"/>
        <w:rPr>
          <w:rFonts w:asciiTheme="minorHAnsi" w:hAnsiTheme="minorHAnsi"/>
          <w:sz w:val="22"/>
          <w:szCs w:val="22"/>
          <w:lang w:val="en-GB"/>
        </w:rPr>
      </w:pPr>
    </w:p>
    <w:p w:rsidR="00D70DA5" w:rsidRDefault="00B26AF2" w:rsidP="0086605D">
      <w:pPr>
        <w:pStyle w:val="Paragraphedeliste"/>
        <w:numPr>
          <w:ilvl w:val="0"/>
          <w:numId w:val="18"/>
        </w:numPr>
        <w:spacing w:line="276" w:lineRule="auto"/>
        <w:jc w:val="both"/>
        <w:rPr>
          <w:rFonts w:asciiTheme="minorHAnsi" w:hAnsiTheme="minorHAnsi"/>
          <w:i/>
          <w:noProof/>
          <w:sz w:val="22"/>
          <w:szCs w:val="22"/>
          <w:lang w:val="en-GB"/>
        </w:rPr>
      </w:pPr>
      <w:r>
        <w:rPr>
          <w:rFonts w:asciiTheme="minorHAnsi" w:hAnsiTheme="minorHAnsi"/>
          <w:i/>
          <w:noProof/>
          <w:sz w:val="22"/>
          <w:szCs w:val="22"/>
          <w:lang w:val="en-GB"/>
        </w:rPr>
        <w:t>Overview table for general regulatory issues</w:t>
      </w:r>
    </w:p>
    <w:p w:rsidR="00910827" w:rsidRPr="0086605D" w:rsidRDefault="00910827" w:rsidP="0086605D">
      <w:pPr>
        <w:pStyle w:val="Paragraphedeliste"/>
        <w:numPr>
          <w:ilvl w:val="0"/>
          <w:numId w:val="18"/>
        </w:numPr>
        <w:spacing w:line="276" w:lineRule="auto"/>
        <w:jc w:val="both"/>
        <w:rPr>
          <w:rFonts w:asciiTheme="minorHAnsi" w:hAnsiTheme="minorHAnsi"/>
          <w:i/>
          <w:noProof/>
          <w:sz w:val="22"/>
          <w:szCs w:val="22"/>
          <w:lang w:val="en-GB"/>
        </w:rPr>
        <w:sectPr w:rsidR="00910827" w:rsidRPr="0086605D" w:rsidSect="00B26AF2">
          <w:pgSz w:w="11907" w:h="16839"/>
          <w:pgMar w:top="1258" w:right="1287" w:bottom="1008" w:left="1800" w:header="708" w:footer="708" w:gutter="0"/>
          <w:cols w:space="708"/>
          <w:docGrid w:linePitch="360"/>
        </w:sectPr>
      </w:pPr>
    </w:p>
    <w:tbl>
      <w:tblPr>
        <w:tblW w:w="12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1134"/>
        <w:gridCol w:w="992"/>
        <w:gridCol w:w="1089"/>
        <w:gridCol w:w="1088"/>
        <w:gridCol w:w="689"/>
        <w:gridCol w:w="836"/>
        <w:gridCol w:w="899"/>
        <w:gridCol w:w="926"/>
        <w:gridCol w:w="681"/>
        <w:gridCol w:w="1638"/>
        <w:gridCol w:w="1237"/>
      </w:tblGrid>
      <w:tr w:rsidR="00B26AF2" w:rsidRPr="00C54CEB" w:rsidTr="00B26AF2">
        <w:trPr>
          <w:trHeight w:val="56"/>
          <w:tblHeader/>
          <w:jc w:val="center"/>
        </w:trPr>
        <w:tc>
          <w:tcPr>
            <w:tcW w:w="1432" w:type="dxa"/>
            <w:shd w:val="pct50" w:color="auto" w:fill="auto"/>
          </w:tcPr>
          <w:p w:rsidR="00B26AF2" w:rsidRPr="000A6B0A" w:rsidRDefault="00B26AF2" w:rsidP="0086605D">
            <w:pPr>
              <w:pStyle w:val="Tabellenkopf"/>
              <w:spacing w:before="0" w:after="0"/>
              <w:jc w:val="center"/>
              <w:rPr>
                <w:rFonts w:ascii="Calibri" w:hAnsi="Calibri" w:cs="Calibri"/>
                <w:b/>
                <w:color w:val="FFFFFF"/>
                <w:sz w:val="20"/>
                <w:lang w:val="en-GB"/>
              </w:rPr>
            </w:pPr>
          </w:p>
        </w:tc>
        <w:tc>
          <w:tcPr>
            <w:tcW w:w="3215" w:type="dxa"/>
            <w:gridSpan w:val="3"/>
            <w:shd w:val="pct50" w:color="auto" w:fill="auto"/>
            <w:vAlign w:val="center"/>
          </w:tcPr>
          <w:p w:rsidR="00B26AF2" w:rsidRPr="000C7A49" w:rsidRDefault="00B26AF2" w:rsidP="0086605D">
            <w:pPr>
              <w:pStyle w:val="Tabellenkopf"/>
              <w:spacing w:before="0" w:after="0"/>
              <w:jc w:val="center"/>
              <w:rPr>
                <w:rFonts w:ascii="Calibri" w:hAnsi="Calibri" w:cs="Calibri"/>
                <w:b/>
                <w:color w:val="FFFFFF"/>
                <w:sz w:val="18"/>
                <w:lang w:val="en-GB"/>
              </w:rPr>
            </w:pPr>
            <w:r w:rsidRPr="000C7A49">
              <w:rPr>
                <w:rFonts w:ascii="Calibri" w:hAnsi="Calibri" w:cs="Calibri"/>
                <w:b/>
                <w:color w:val="FFFFFF"/>
                <w:sz w:val="18"/>
                <w:lang w:val="en-GB"/>
              </w:rPr>
              <w:t>Additional duties regarding railways</w:t>
            </w:r>
          </w:p>
        </w:tc>
        <w:tc>
          <w:tcPr>
            <w:tcW w:w="1088" w:type="dxa"/>
            <w:vMerge w:val="restart"/>
            <w:shd w:val="pct50" w:color="auto" w:fill="auto"/>
            <w:vAlign w:val="center"/>
          </w:tcPr>
          <w:p w:rsidR="00B26AF2"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Competition Authority</w:t>
            </w:r>
          </w:p>
        </w:tc>
        <w:tc>
          <w:tcPr>
            <w:tcW w:w="6906" w:type="dxa"/>
            <w:gridSpan w:val="7"/>
            <w:shd w:val="pct50" w:color="auto" w:fill="auto"/>
            <w:vAlign w:val="center"/>
          </w:tcPr>
          <w:p w:rsidR="00B26AF2" w:rsidRPr="000C7A49" w:rsidRDefault="00B26AF2" w:rsidP="0086605D">
            <w:pPr>
              <w:pStyle w:val="Tabellenkopf"/>
              <w:spacing w:before="0" w:after="0"/>
              <w:jc w:val="center"/>
              <w:rPr>
                <w:rFonts w:ascii="Calibri" w:hAnsi="Calibri" w:cs="Calibri"/>
                <w:b/>
                <w:color w:val="FFFFFF"/>
                <w:sz w:val="18"/>
                <w:lang w:val="en-GB"/>
              </w:rPr>
            </w:pPr>
            <w:r w:rsidRPr="000C7A49">
              <w:rPr>
                <w:rFonts w:ascii="Calibri" w:hAnsi="Calibri" w:cs="Calibri"/>
                <w:b/>
                <w:color w:val="FFFFFF"/>
                <w:sz w:val="18"/>
                <w:lang w:val="en-GB"/>
              </w:rPr>
              <w:t>Additional duties in different sectors</w:t>
            </w:r>
          </w:p>
        </w:tc>
      </w:tr>
      <w:tr w:rsidR="00B26AF2" w:rsidRPr="000A6B0A" w:rsidTr="00B26AF2">
        <w:trPr>
          <w:trHeight w:val="56"/>
          <w:tblHeader/>
          <w:jc w:val="center"/>
        </w:trPr>
        <w:tc>
          <w:tcPr>
            <w:tcW w:w="1432" w:type="dxa"/>
            <w:shd w:val="pct50" w:color="auto" w:fill="auto"/>
          </w:tcPr>
          <w:p w:rsidR="00B26AF2" w:rsidRPr="000A6B0A" w:rsidRDefault="00B26AF2" w:rsidP="0086605D">
            <w:pPr>
              <w:pStyle w:val="Tabellenkopf"/>
              <w:spacing w:before="0" w:after="0"/>
              <w:jc w:val="center"/>
              <w:rPr>
                <w:rFonts w:ascii="Calibri" w:hAnsi="Calibri" w:cs="Calibri"/>
                <w:b/>
                <w:color w:val="FFFFFF"/>
                <w:sz w:val="20"/>
                <w:lang w:val="en-GB"/>
              </w:rPr>
            </w:pPr>
          </w:p>
        </w:tc>
        <w:tc>
          <w:tcPr>
            <w:tcW w:w="1134"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Railway safety</w:t>
            </w:r>
          </w:p>
        </w:tc>
        <w:tc>
          <w:tcPr>
            <w:tcW w:w="992"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Railway licensing</w:t>
            </w:r>
          </w:p>
        </w:tc>
        <w:tc>
          <w:tcPr>
            <w:tcW w:w="1089"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Railway passenger rights</w:t>
            </w:r>
          </w:p>
        </w:tc>
        <w:tc>
          <w:tcPr>
            <w:tcW w:w="1088" w:type="dxa"/>
            <w:vMerge/>
            <w:shd w:val="pct50" w:color="auto" w:fill="auto"/>
          </w:tcPr>
          <w:p w:rsidR="00B26AF2" w:rsidRDefault="00B26AF2" w:rsidP="0086605D">
            <w:pPr>
              <w:pStyle w:val="Tabellenkopf"/>
              <w:spacing w:before="0" w:after="0"/>
              <w:jc w:val="center"/>
              <w:rPr>
                <w:rFonts w:ascii="Calibri" w:hAnsi="Calibri" w:cs="Calibri"/>
                <w:b/>
                <w:color w:val="FFFFFF"/>
                <w:sz w:val="16"/>
                <w:lang w:val="en-GB"/>
              </w:rPr>
            </w:pPr>
          </w:p>
        </w:tc>
        <w:tc>
          <w:tcPr>
            <w:tcW w:w="689"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Roads</w:t>
            </w:r>
          </w:p>
        </w:tc>
        <w:tc>
          <w:tcPr>
            <w:tcW w:w="836"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Aviation</w:t>
            </w:r>
          </w:p>
        </w:tc>
        <w:tc>
          <w:tcPr>
            <w:tcW w:w="899"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Maritime</w:t>
            </w:r>
          </w:p>
        </w:tc>
        <w:tc>
          <w:tcPr>
            <w:tcW w:w="926" w:type="dxa"/>
            <w:shd w:val="pct50" w:color="auto" w:fill="auto"/>
            <w:vAlign w:val="center"/>
          </w:tcPr>
          <w:p w:rsidR="00B26AF2" w:rsidRPr="000A6B0A" w:rsidRDefault="00B26AF2" w:rsidP="0086605D">
            <w:pPr>
              <w:pStyle w:val="Tabellenkopf"/>
              <w:spacing w:before="0" w:after="0"/>
              <w:jc w:val="center"/>
              <w:rPr>
                <w:sz w:val="16"/>
                <w:lang w:val="en-GB"/>
              </w:rPr>
            </w:pPr>
            <w:r>
              <w:rPr>
                <w:rFonts w:ascii="Calibri" w:hAnsi="Calibri" w:cs="Calibri"/>
                <w:b/>
                <w:color w:val="FFFFFF"/>
                <w:sz w:val="16"/>
                <w:lang w:val="en-GB"/>
              </w:rPr>
              <w:t>Electricity</w:t>
            </w:r>
          </w:p>
        </w:tc>
        <w:tc>
          <w:tcPr>
            <w:tcW w:w="681" w:type="dxa"/>
            <w:shd w:val="pct50" w:color="auto" w:fill="auto"/>
            <w:vAlign w:val="center"/>
          </w:tcPr>
          <w:p w:rsidR="00B26AF2"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Gas</w:t>
            </w:r>
          </w:p>
        </w:tc>
        <w:tc>
          <w:tcPr>
            <w:tcW w:w="1638" w:type="dxa"/>
            <w:shd w:val="pct50" w:color="auto" w:fill="auto"/>
            <w:vAlign w:val="center"/>
          </w:tcPr>
          <w:p w:rsidR="00B26AF2" w:rsidRPr="000A6B0A"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Telecommunications</w:t>
            </w:r>
          </w:p>
        </w:tc>
        <w:tc>
          <w:tcPr>
            <w:tcW w:w="1237" w:type="dxa"/>
            <w:shd w:val="pct50" w:color="auto" w:fill="auto"/>
            <w:vAlign w:val="center"/>
          </w:tcPr>
          <w:p w:rsidR="00B26AF2" w:rsidRDefault="00B26AF2"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Postal services</w:t>
            </w:r>
          </w:p>
        </w:tc>
      </w:tr>
      <w:tr w:rsidR="00B26AF2" w:rsidRPr="000A6B0A" w:rsidTr="00B26AF2">
        <w:trPr>
          <w:trHeight w:val="444"/>
          <w:jc w:val="center"/>
        </w:trPr>
        <w:tc>
          <w:tcPr>
            <w:tcW w:w="1432" w:type="dxa"/>
            <w:vAlign w:val="center"/>
          </w:tcPr>
          <w:p w:rsidR="00B26AF2" w:rsidRPr="000A6B0A" w:rsidRDefault="00B26AF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92"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836" w:type="dxa"/>
            <w:vAlign w:val="center"/>
          </w:tcPr>
          <w:p w:rsidR="00B26AF2" w:rsidRPr="00085B30"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365"/>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B26AF2" w:rsidRPr="000A6B0A" w:rsidTr="00B26AF2">
        <w:trPr>
          <w:trHeight w:val="443"/>
          <w:jc w:val="center"/>
        </w:trPr>
        <w:tc>
          <w:tcPr>
            <w:tcW w:w="1432" w:type="dxa"/>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92"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B26AF2" w:rsidRPr="000A6B0A" w:rsidTr="00B26AF2">
        <w:trPr>
          <w:trHeight w:val="224"/>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008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008000"/>
                <w:sz w:val="28"/>
                <w:szCs w:val="28"/>
                <w:lang w:val="en-GB"/>
              </w:rPr>
              <w:t></w:t>
            </w:r>
          </w:p>
        </w:tc>
      </w:tr>
      <w:tr w:rsidR="00B26AF2" w:rsidRPr="000A6B0A" w:rsidTr="00B26AF2">
        <w:trPr>
          <w:trHeight w:val="302"/>
          <w:jc w:val="center"/>
        </w:trPr>
        <w:tc>
          <w:tcPr>
            <w:tcW w:w="1432" w:type="dxa"/>
            <w:vAlign w:val="center"/>
          </w:tcPr>
          <w:p w:rsidR="00B26AF2" w:rsidRPr="000A6B0A" w:rsidRDefault="00B26AF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92"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366"/>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681" w:type="dxa"/>
            <w:shd w:val="clear" w:color="auto" w:fill="D9D9D9" w:themeFill="background1" w:themeFillShade="D9"/>
            <w:vAlign w:val="center"/>
          </w:tcPr>
          <w:p w:rsidR="00B26AF2" w:rsidRPr="00085B30"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B26AF2" w:rsidRPr="000A6B0A" w:rsidTr="00B26AF2">
        <w:trPr>
          <w:trHeight w:val="444"/>
          <w:jc w:val="center"/>
        </w:trPr>
        <w:tc>
          <w:tcPr>
            <w:tcW w:w="1432" w:type="dxa"/>
            <w:vAlign w:val="center"/>
          </w:tcPr>
          <w:p w:rsidR="00B26AF2" w:rsidRPr="00E13AB8"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Finland</w:t>
            </w:r>
          </w:p>
        </w:tc>
        <w:tc>
          <w:tcPr>
            <w:tcW w:w="1134"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008000"/>
                <w:sz w:val="28"/>
                <w:szCs w:val="28"/>
                <w:lang w:val="en-GB"/>
              </w:rPr>
              <w:t></w:t>
            </w:r>
            <w:r>
              <w:rPr>
                <w:rStyle w:val="Appelnotedebasdep"/>
                <w:rFonts w:ascii="Calibri" w:hAnsi="Calibri"/>
                <w:sz w:val="20"/>
                <w:lang w:val="en-GB"/>
              </w:rPr>
              <w:footnoteReference w:id="58"/>
            </w:r>
          </w:p>
        </w:tc>
        <w:tc>
          <w:tcPr>
            <w:tcW w:w="992"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r>
              <w:rPr>
                <w:rStyle w:val="Appelnotedebasdep"/>
                <w:rFonts w:ascii="Calibri" w:hAnsi="Calibri"/>
                <w:sz w:val="20"/>
                <w:lang w:val="en-GB"/>
              </w:rPr>
              <w:footnoteReference w:id="59"/>
            </w:r>
          </w:p>
        </w:tc>
        <w:tc>
          <w:tcPr>
            <w:tcW w:w="836"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380"/>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b/>
                <w:sz w:val="20"/>
                <w:lang w:val="en-GB"/>
              </w:rPr>
            </w:pPr>
            <w:r w:rsidRPr="000A6B0A">
              <w:rPr>
                <w:rFonts w:ascii="Calibri" w:hAnsi="Calibri" w:cs="Calibri"/>
                <w:b/>
                <w:sz w:val="20"/>
                <w:lang w:val="en-GB"/>
              </w:rPr>
              <w:t>France</w:t>
            </w:r>
          </w:p>
        </w:tc>
        <w:tc>
          <w:tcPr>
            <w:tcW w:w="1134"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302"/>
          <w:jc w:val="center"/>
        </w:trPr>
        <w:tc>
          <w:tcPr>
            <w:tcW w:w="1432" w:type="dxa"/>
            <w:vAlign w:val="center"/>
          </w:tcPr>
          <w:p w:rsidR="00B26AF2" w:rsidRPr="000A6B0A" w:rsidRDefault="00B26AF2"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Germany  </w:t>
            </w:r>
          </w:p>
        </w:tc>
        <w:tc>
          <w:tcPr>
            <w:tcW w:w="1134"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992"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681" w:type="dxa"/>
            <w:vAlign w:val="center"/>
          </w:tcPr>
          <w:p w:rsidR="00B26AF2" w:rsidRPr="00085B30"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38"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008000"/>
                <w:sz w:val="28"/>
                <w:szCs w:val="28"/>
                <w:lang w:val="en-GB"/>
              </w:rPr>
              <w:t></w:t>
            </w:r>
          </w:p>
        </w:tc>
      </w:tr>
      <w:tr w:rsidR="00B26AF2" w:rsidRPr="000A6B0A" w:rsidTr="00B26AF2">
        <w:trPr>
          <w:trHeight w:val="238"/>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Greece</w:t>
            </w:r>
          </w:p>
        </w:tc>
        <w:tc>
          <w:tcPr>
            <w:tcW w:w="1134" w:type="dxa"/>
            <w:shd w:val="clear" w:color="auto" w:fill="D9D9D9" w:themeFill="background1" w:themeFillShade="D9"/>
            <w:vAlign w:val="center"/>
          </w:tcPr>
          <w:p w:rsidR="00B26AF2" w:rsidRPr="000A6B0A" w:rsidRDefault="003946FB">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shd w:val="clear" w:color="auto" w:fill="D9D9D9" w:themeFill="background1" w:themeFillShade="D9"/>
            <w:vAlign w:val="center"/>
          </w:tcPr>
          <w:p w:rsidR="00B26AF2" w:rsidRPr="000A6B0A" w:rsidRDefault="003946FB">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B26AF2" w:rsidRPr="000A6B0A" w:rsidTr="00B26AF2">
        <w:trPr>
          <w:trHeight w:val="174"/>
          <w:jc w:val="center"/>
        </w:trPr>
        <w:tc>
          <w:tcPr>
            <w:tcW w:w="1432" w:type="dxa"/>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Hungary</w:t>
            </w:r>
          </w:p>
        </w:tc>
        <w:tc>
          <w:tcPr>
            <w:tcW w:w="1134"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92"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B26AF2" w:rsidRPr="000A6B0A" w:rsidTr="00B26AF2">
        <w:trPr>
          <w:trHeight w:val="252"/>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Italy</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008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174"/>
          <w:jc w:val="center"/>
        </w:trPr>
        <w:tc>
          <w:tcPr>
            <w:tcW w:w="1432" w:type="dxa"/>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Latvia</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9"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110"/>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Netherlands</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689" w:type="dxa"/>
            <w:shd w:val="clear" w:color="auto" w:fill="D9D9D9" w:themeFill="background1" w:themeFillShade="D9"/>
            <w:vAlign w:val="center"/>
          </w:tcPr>
          <w:p w:rsidR="00B26AF2" w:rsidRPr="000A6B0A" w:rsidRDefault="00C54CEB">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B26AF2" w:rsidRPr="000A6B0A" w:rsidTr="00B26AF2">
        <w:trPr>
          <w:trHeight w:val="302"/>
          <w:jc w:val="center"/>
        </w:trPr>
        <w:tc>
          <w:tcPr>
            <w:tcW w:w="1432" w:type="dxa"/>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Norway</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92"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008000"/>
                <w:sz w:val="28"/>
                <w:szCs w:val="28"/>
                <w:lang w:val="en-GB"/>
              </w:rPr>
              <w:t></w:t>
            </w:r>
          </w:p>
        </w:tc>
        <w:tc>
          <w:tcPr>
            <w:tcW w:w="1088"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161"/>
          <w:jc w:val="center"/>
        </w:trPr>
        <w:tc>
          <w:tcPr>
            <w:tcW w:w="1432" w:type="dxa"/>
            <w:shd w:val="clear" w:color="auto" w:fill="D9D9D9" w:themeFill="background1" w:themeFillShade="D9"/>
            <w:vAlign w:val="center"/>
          </w:tcPr>
          <w:p w:rsidR="00B26AF2" w:rsidRPr="000A6B0A"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Poland</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B26AF2">
        <w:trPr>
          <w:trHeight w:val="56"/>
          <w:jc w:val="center"/>
        </w:trPr>
        <w:tc>
          <w:tcPr>
            <w:tcW w:w="1432" w:type="dxa"/>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1134"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92"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9"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8"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3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99"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26"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7" w:type="dxa"/>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B26AF2" w:rsidRPr="000A6B0A" w:rsidTr="00B26AF2">
        <w:trPr>
          <w:trHeight w:val="56"/>
          <w:jc w:val="center"/>
        </w:trPr>
        <w:tc>
          <w:tcPr>
            <w:tcW w:w="1432" w:type="dxa"/>
            <w:shd w:val="clear" w:color="auto" w:fill="D9D9D9" w:themeFill="background1" w:themeFillShade="D9"/>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B26AF2" w:rsidRPr="000A6B0A" w:rsidTr="0086605D">
        <w:trPr>
          <w:trHeight w:val="56"/>
          <w:jc w:val="center"/>
        </w:trPr>
        <w:tc>
          <w:tcPr>
            <w:tcW w:w="1432" w:type="dxa"/>
            <w:shd w:val="clear" w:color="auto" w:fill="FFFFFF" w:themeFill="background1"/>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Slovakia</w:t>
            </w:r>
          </w:p>
        </w:tc>
        <w:tc>
          <w:tcPr>
            <w:tcW w:w="1134"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92" w:type="dxa"/>
            <w:shd w:val="clear" w:color="auto" w:fill="FFFFFF" w:themeFill="background1"/>
            <w:vAlign w:val="center"/>
          </w:tcPr>
          <w:p w:rsidR="00B26AF2" w:rsidRPr="000A6B0A" w:rsidRDefault="00A676E3">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9" w:type="dxa"/>
            <w:shd w:val="clear" w:color="auto" w:fill="FFFFFF" w:themeFill="background1"/>
            <w:vAlign w:val="center"/>
          </w:tcPr>
          <w:p w:rsidR="00B26AF2" w:rsidRPr="000A6B0A" w:rsidRDefault="00A676E3">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shd w:val="clear" w:color="auto" w:fill="FFFFFF" w:themeFill="background1"/>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9"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36"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9"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26"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B26AF2" w:rsidRPr="000A6B0A" w:rsidTr="00B26AF2">
        <w:trPr>
          <w:trHeight w:val="56"/>
          <w:jc w:val="center"/>
        </w:trPr>
        <w:tc>
          <w:tcPr>
            <w:tcW w:w="1432" w:type="dxa"/>
            <w:shd w:val="clear" w:color="auto" w:fill="D9D9D9" w:themeFill="background1" w:themeFillShade="D9"/>
            <w:vAlign w:val="center"/>
          </w:tcPr>
          <w:p w:rsidR="00B26AF2" w:rsidRDefault="00B26AF2"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lastRenderedPageBreak/>
              <w:t>Slovenia</w:t>
            </w:r>
          </w:p>
        </w:tc>
        <w:tc>
          <w:tcPr>
            <w:tcW w:w="1134" w:type="dxa"/>
            <w:shd w:val="clear" w:color="auto" w:fill="D9D9D9" w:themeFill="background1" w:themeFillShade="D9"/>
            <w:vAlign w:val="center"/>
          </w:tcPr>
          <w:p w:rsidR="00B26AF2" w:rsidRDefault="00B26AF2">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992" w:type="dxa"/>
            <w:shd w:val="clear" w:color="auto" w:fill="D9D9D9" w:themeFill="background1" w:themeFillShade="D9"/>
            <w:vAlign w:val="center"/>
          </w:tcPr>
          <w:p w:rsidR="00B26AF2" w:rsidRDefault="00B26AF2">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089" w:type="dxa"/>
            <w:shd w:val="clear" w:color="auto" w:fill="D9D9D9" w:themeFill="background1" w:themeFillShade="D9"/>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088" w:type="dxa"/>
            <w:shd w:val="clear" w:color="auto" w:fill="D9D9D9" w:themeFill="background1" w:themeFillShade="D9"/>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Default="00B26AF2">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836" w:type="dxa"/>
            <w:shd w:val="clear" w:color="auto" w:fill="D9D9D9" w:themeFill="background1" w:themeFillShade="D9"/>
            <w:vAlign w:val="center"/>
          </w:tcPr>
          <w:p w:rsidR="00B26AF2" w:rsidRDefault="00B26AF2">
            <w:pPr>
              <w:spacing w:line="276" w:lineRule="auto"/>
              <w:jc w:val="center"/>
            </w:pPr>
            <w:r>
              <w:rPr>
                <w:rFonts w:ascii="Wingdings 2" w:hAnsi="Wingdings 2"/>
                <w:b/>
                <w:color w:val="800000"/>
                <w:sz w:val="28"/>
                <w:szCs w:val="28"/>
                <w:lang w:val="en-GB"/>
              </w:rPr>
              <w:t></w:t>
            </w:r>
          </w:p>
        </w:tc>
        <w:tc>
          <w:tcPr>
            <w:tcW w:w="899" w:type="dxa"/>
            <w:shd w:val="clear" w:color="auto" w:fill="D9D9D9" w:themeFill="background1" w:themeFillShade="D9"/>
            <w:vAlign w:val="center"/>
          </w:tcPr>
          <w:p w:rsidR="00B26AF2" w:rsidRDefault="00B26AF2">
            <w:pPr>
              <w:spacing w:line="276" w:lineRule="auto"/>
              <w:jc w:val="center"/>
            </w:pPr>
            <w:r>
              <w:rPr>
                <w:rFonts w:ascii="Wingdings 2" w:hAnsi="Wingdings 2"/>
                <w:b/>
                <w:color w:val="800000"/>
                <w:sz w:val="28"/>
                <w:szCs w:val="28"/>
                <w:lang w:val="en-GB"/>
              </w:rPr>
              <w:t></w:t>
            </w:r>
          </w:p>
        </w:tc>
        <w:tc>
          <w:tcPr>
            <w:tcW w:w="926" w:type="dxa"/>
            <w:shd w:val="clear" w:color="auto" w:fill="D9D9D9" w:themeFill="background1" w:themeFillShade="D9"/>
            <w:vAlign w:val="center"/>
          </w:tcPr>
          <w:p w:rsidR="00B26AF2" w:rsidRDefault="00B26AF2">
            <w:pPr>
              <w:spacing w:line="276" w:lineRule="auto"/>
              <w:jc w:val="center"/>
            </w:pPr>
            <w:r>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Default="00B26AF2">
            <w:pPr>
              <w:spacing w:line="276" w:lineRule="auto"/>
              <w:jc w:val="center"/>
            </w:pPr>
            <w:r>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Default="00B26AF2">
            <w:pPr>
              <w:spacing w:line="276" w:lineRule="auto"/>
              <w:jc w:val="center"/>
            </w:pPr>
            <w:r>
              <w:rPr>
                <w:rFonts w:ascii="Wingdings 2" w:hAnsi="Wingdings 2"/>
                <w:b/>
                <w:color w:val="008000"/>
                <w:sz w:val="28"/>
                <w:szCs w:val="28"/>
                <w:lang w:val="en-GB"/>
              </w:rPr>
              <w:t></w:t>
            </w:r>
          </w:p>
        </w:tc>
        <w:tc>
          <w:tcPr>
            <w:tcW w:w="1237" w:type="dxa"/>
            <w:shd w:val="clear" w:color="auto" w:fill="D9D9D9" w:themeFill="background1" w:themeFillShade="D9"/>
            <w:vAlign w:val="center"/>
          </w:tcPr>
          <w:p w:rsidR="00B26AF2" w:rsidRDefault="00B26AF2">
            <w:pPr>
              <w:spacing w:line="276" w:lineRule="auto"/>
              <w:jc w:val="center"/>
            </w:pPr>
            <w:r>
              <w:rPr>
                <w:rFonts w:ascii="Wingdings 2" w:hAnsi="Wingdings 2"/>
                <w:b/>
                <w:color w:val="008000"/>
                <w:sz w:val="28"/>
                <w:szCs w:val="28"/>
                <w:lang w:val="en-GB"/>
              </w:rPr>
              <w:t></w:t>
            </w:r>
          </w:p>
        </w:tc>
      </w:tr>
      <w:tr w:rsidR="00B26AF2" w:rsidRPr="000A6B0A" w:rsidTr="0086605D">
        <w:trPr>
          <w:trHeight w:val="56"/>
          <w:jc w:val="center"/>
        </w:trPr>
        <w:tc>
          <w:tcPr>
            <w:tcW w:w="1432" w:type="dxa"/>
            <w:shd w:val="clear" w:color="auto" w:fill="FFFFFF" w:themeFill="background1"/>
            <w:vAlign w:val="center"/>
          </w:tcPr>
          <w:p w:rsidR="00B26AF2" w:rsidRDefault="00B26AF2"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Spain</w:t>
            </w:r>
          </w:p>
        </w:tc>
        <w:tc>
          <w:tcPr>
            <w:tcW w:w="1134"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92"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089"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088" w:type="dxa"/>
            <w:shd w:val="clear" w:color="auto" w:fill="FFFFFF" w:themeFill="background1"/>
            <w:vAlign w:val="center"/>
          </w:tcPr>
          <w:p w:rsidR="00B26AF2" w:rsidRDefault="00B26AF2">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689"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836"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899"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26"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681"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638"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237" w:type="dxa"/>
            <w:shd w:val="clear" w:color="auto" w:fill="FFFFFF" w:themeFill="background1"/>
            <w:vAlign w:val="center"/>
          </w:tcPr>
          <w:p w:rsidR="00B26AF2" w:rsidRDefault="00B26AF2">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r>
      <w:tr w:rsidR="00B26AF2" w:rsidRPr="000A6B0A" w:rsidTr="0086605D">
        <w:trPr>
          <w:trHeight w:val="56"/>
          <w:jc w:val="center"/>
        </w:trPr>
        <w:tc>
          <w:tcPr>
            <w:tcW w:w="1432" w:type="dxa"/>
            <w:shd w:val="clear" w:color="auto" w:fill="D9D9D9" w:themeFill="background1" w:themeFillShade="D9"/>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Sweden</w:t>
            </w:r>
          </w:p>
        </w:tc>
        <w:tc>
          <w:tcPr>
            <w:tcW w:w="1134"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92"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9"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3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9"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26"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681" w:type="dxa"/>
            <w:shd w:val="clear" w:color="auto" w:fill="D9D9D9" w:themeFill="background1" w:themeFillShade="D9"/>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38" w:type="dxa"/>
            <w:shd w:val="clear" w:color="auto" w:fill="D9D9D9" w:themeFill="background1" w:themeFillShade="D9"/>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7" w:type="dxa"/>
            <w:shd w:val="clear" w:color="auto" w:fill="D9D9D9" w:themeFill="background1" w:themeFillShade="D9"/>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r>
      <w:tr w:rsidR="00B26AF2" w:rsidRPr="000A6B0A" w:rsidTr="0086605D">
        <w:trPr>
          <w:trHeight w:val="444"/>
          <w:jc w:val="center"/>
        </w:trPr>
        <w:tc>
          <w:tcPr>
            <w:tcW w:w="1432" w:type="dxa"/>
            <w:shd w:val="clear" w:color="auto" w:fill="FFFFFF" w:themeFill="background1"/>
            <w:vAlign w:val="center"/>
          </w:tcPr>
          <w:p w:rsidR="00B26AF2" w:rsidRDefault="00B26AF2" w:rsidP="0086605D">
            <w:pPr>
              <w:pStyle w:val="Tabellenkopf"/>
              <w:spacing w:before="0" w:after="0"/>
              <w:jc w:val="center"/>
              <w:rPr>
                <w:rFonts w:ascii="Calibri" w:hAnsi="Calibri" w:cs="Calibri"/>
                <w:b/>
                <w:sz w:val="20"/>
                <w:lang w:val="en-GB"/>
              </w:rPr>
            </w:pPr>
            <w:r>
              <w:rPr>
                <w:rFonts w:ascii="Calibri" w:hAnsi="Calibri" w:cs="Calibri"/>
                <w:b/>
                <w:sz w:val="20"/>
                <w:lang w:val="en-GB"/>
              </w:rPr>
              <w:t>United-Kingdom</w:t>
            </w:r>
          </w:p>
        </w:tc>
        <w:tc>
          <w:tcPr>
            <w:tcW w:w="1134"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92" w:type="dxa"/>
            <w:shd w:val="clear" w:color="auto" w:fill="FFFFFF" w:themeFill="background1"/>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9"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8"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689"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36"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99" w:type="dxa"/>
            <w:shd w:val="clear" w:color="auto" w:fill="FFFFFF" w:themeFill="background1"/>
            <w:vAlign w:val="center"/>
          </w:tcPr>
          <w:p w:rsidR="00B26AF2" w:rsidRPr="000A6B0A" w:rsidRDefault="00B26AF2">
            <w:pPr>
              <w:jc w:val="center"/>
              <w:rPr>
                <w:rFonts w:ascii="Calibri" w:hAnsi="Calibri" w:cs="Calibri"/>
                <w:i/>
                <w:sz w:val="16"/>
                <w:szCs w:val="20"/>
                <w:lang w:val="en-GB"/>
              </w:rPr>
            </w:pPr>
            <w:r w:rsidRPr="000A6B0A">
              <w:rPr>
                <w:rFonts w:ascii="Wingdings 2" w:hAnsi="Wingdings 2"/>
                <w:b/>
                <w:color w:val="800000"/>
                <w:sz w:val="28"/>
                <w:szCs w:val="28"/>
                <w:lang w:val="en-GB"/>
              </w:rPr>
              <w:t></w:t>
            </w:r>
          </w:p>
        </w:tc>
        <w:tc>
          <w:tcPr>
            <w:tcW w:w="926" w:type="dxa"/>
            <w:shd w:val="clear" w:color="auto" w:fill="FFFFFF" w:themeFill="background1"/>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681"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38" w:type="dxa"/>
            <w:shd w:val="clear" w:color="auto" w:fill="FFFFFF" w:themeFill="background1"/>
            <w:vAlign w:val="center"/>
          </w:tcPr>
          <w:p w:rsidR="00B26AF2" w:rsidRPr="000A6B0A" w:rsidRDefault="00B26AF2">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7" w:type="dxa"/>
            <w:shd w:val="clear" w:color="auto" w:fill="FFFFFF" w:themeFill="background1"/>
            <w:vAlign w:val="center"/>
          </w:tcPr>
          <w:p w:rsidR="00B26AF2" w:rsidRPr="000A6B0A" w:rsidRDefault="00B26AF2">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bl>
    <w:p w:rsidR="00B26AF2" w:rsidRPr="0086605D" w:rsidRDefault="00B26AF2" w:rsidP="0086605D">
      <w:pPr>
        <w:spacing w:line="276" w:lineRule="auto"/>
        <w:jc w:val="both"/>
        <w:rPr>
          <w:rFonts w:asciiTheme="minorHAnsi" w:hAnsiTheme="minorHAnsi"/>
          <w:i/>
          <w:noProof/>
          <w:sz w:val="22"/>
          <w:szCs w:val="22"/>
          <w:lang w:val="en-GB"/>
        </w:rPr>
      </w:pPr>
    </w:p>
    <w:p w:rsidR="00D70DA5" w:rsidRDefault="00B26AF2" w:rsidP="000D2D45">
      <w:pPr>
        <w:spacing w:line="276" w:lineRule="auto"/>
        <w:jc w:val="both"/>
        <w:rPr>
          <w:rFonts w:asciiTheme="minorHAnsi" w:hAnsiTheme="minorHAnsi"/>
          <w:sz w:val="22"/>
          <w:szCs w:val="22"/>
          <w:lang w:val="en-GB"/>
        </w:rPr>
        <w:sectPr w:rsidR="00D70DA5" w:rsidSect="00D70DA5">
          <w:pgSz w:w="16839" w:h="11907" w:orient="landscape"/>
          <w:pgMar w:top="1800" w:right="1258" w:bottom="1287" w:left="1008" w:header="708" w:footer="708" w:gutter="0"/>
          <w:cols w:space="708"/>
          <w:docGrid w:linePitch="360"/>
        </w:sectPr>
      </w:pPr>
      <w:r>
        <w:rPr>
          <w:rFonts w:asciiTheme="minorHAnsi" w:hAnsiTheme="minorHAnsi"/>
          <w:sz w:val="22"/>
          <w:szCs w:val="22"/>
          <w:lang w:val="en-GB"/>
        </w:rPr>
        <w:br w:type="page"/>
      </w:r>
    </w:p>
    <w:p w:rsidR="000D2D45" w:rsidRPr="000A6B0A" w:rsidRDefault="000D2D45" w:rsidP="00E561FB">
      <w:pPr>
        <w:pStyle w:val="Paragraphedeliste"/>
        <w:numPr>
          <w:ilvl w:val="1"/>
          <w:numId w:val="2"/>
        </w:numPr>
        <w:spacing w:line="276" w:lineRule="auto"/>
        <w:jc w:val="both"/>
        <w:rPr>
          <w:rFonts w:asciiTheme="minorHAnsi" w:hAnsiTheme="minorHAnsi"/>
          <w:b/>
          <w:noProof/>
          <w:sz w:val="22"/>
          <w:szCs w:val="22"/>
          <w:lang w:val="en-GB"/>
        </w:rPr>
      </w:pPr>
      <w:r w:rsidRPr="000A6B0A">
        <w:rPr>
          <w:rFonts w:asciiTheme="minorHAnsi" w:hAnsiTheme="minorHAnsi"/>
          <w:b/>
          <w:noProof/>
          <w:sz w:val="22"/>
          <w:szCs w:val="22"/>
          <w:lang w:val="en-GB"/>
        </w:rPr>
        <w:lastRenderedPageBreak/>
        <w:t>Charging review</w:t>
      </w:r>
    </w:p>
    <w:p w:rsidR="000D2D45" w:rsidRPr="00A56CA1" w:rsidRDefault="000D2D45" w:rsidP="000D2D45">
      <w:pPr>
        <w:pStyle w:val="Paragraphedeliste"/>
        <w:spacing w:line="276" w:lineRule="auto"/>
        <w:jc w:val="both"/>
        <w:rPr>
          <w:rFonts w:asciiTheme="minorHAnsi" w:hAnsiTheme="minorHAnsi"/>
          <w:b/>
          <w:noProof/>
          <w:sz w:val="22"/>
          <w:szCs w:val="22"/>
          <w:lang w:val="en-GB"/>
        </w:rPr>
      </w:pPr>
    </w:p>
    <w:p w:rsidR="000D2D45" w:rsidRPr="00920176" w:rsidRDefault="000D2D45" w:rsidP="00E561FB">
      <w:pPr>
        <w:pStyle w:val="Paragraphedeliste"/>
        <w:numPr>
          <w:ilvl w:val="0"/>
          <w:numId w:val="18"/>
        </w:numPr>
        <w:spacing w:line="276" w:lineRule="auto"/>
        <w:jc w:val="both"/>
        <w:rPr>
          <w:rFonts w:asciiTheme="minorHAnsi" w:hAnsiTheme="minorHAnsi"/>
          <w:i/>
          <w:noProof/>
          <w:sz w:val="22"/>
          <w:szCs w:val="22"/>
          <w:lang w:val="en-GB"/>
        </w:rPr>
      </w:pPr>
      <w:r w:rsidRPr="00920176">
        <w:rPr>
          <w:rFonts w:asciiTheme="minorHAnsi" w:hAnsiTheme="minorHAnsi"/>
          <w:i/>
          <w:noProof/>
          <w:sz w:val="22"/>
          <w:szCs w:val="22"/>
          <w:lang w:val="en-GB"/>
        </w:rPr>
        <w:t>Review of charging principles and the level of charges</w:t>
      </w:r>
    </w:p>
    <w:p w:rsidR="000D2D45" w:rsidRPr="000A6B0A" w:rsidRDefault="000D2D45" w:rsidP="000D2D45">
      <w:pPr>
        <w:spacing w:line="276" w:lineRule="auto"/>
        <w:jc w:val="both"/>
        <w:rPr>
          <w:rFonts w:asciiTheme="minorHAnsi" w:hAnsiTheme="minorHAnsi"/>
          <w:sz w:val="22"/>
          <w:szCs w:val="22"/>
          <w:lang w:val="en-GB"/>
        </w:rPr>
      </w:pPr>
    </w:p>
    <w:p w:rsidR="00D130AD" w:rsidRPr="000A6B0A" w:rsidRDefault="000D2D45" w:rsidP="00D130A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All </w:t>
      </w:r>
      <w:r w:rsidR="00420D3F" w:rsidRPr="000A6B0A">
        <w:rPr>
          <w:rFonts w:asciiTheme="minorHAnsi" w:hAnsiTheme="minorHAnsi"/>
          <w:sz w:val="22"/>
          <w:szCs w:val="22"/>
          <w:lang w:val="en-GB"/>
        </w:rPr>
        <w:t>regulatory bodies are required</w:t>
      </w:r>
      <w:r w:rsidRPr="000A6B0A">
        <w:rPr>
          <w:rFonts w:asciiTheme="minorHAnsi" w:hAnsiTheme="minorHAnsi"/>
          <w:sz w:val="22"/>
          <w:szCs w:val="22"/>
          <w:lang w:val="en-GB"/>
        </w:rPr>
        <w:t xml:space="preserve"> to review charging principles and/or the level of charges</w:t>
      </w:r>
      <w:r w:rsidR="00E86812" w:rsidRPr="000A6B0A">
        <w:rPr>
          <w:rStyle w:val="Appelnotedebasdep"/>
          <w:rFonts w:asciiTheme="minorHAnsi" w:hAnsiTheme="minorHAnsi"/>
          <w:sz w:val="22"/>
          <w:szCs w:val="22"/>
          <w:lang w:val="en-GB"/>
        </w:rPr>
        <w:footnoteReference w:id="60"/>
      </w:r>
      <w:r w:rsidRPr="000A6B0A">
        <w:rPr>
          <w:rFonts w:asciiTheme="minorHAnsi" w:hAnsiTheme="minorHAnsi"/>
          <w:sz w:val="22"/>
          <w:szCs w:val="22"/>
          <w:lang w:val="en-GB"/>
        </w:rPr>
        <w:t xml:space="preserve">. </w:t>
      </w:r>
      <w:r w:rsidR="00420D3F" w:rsidRPr="000A6B0A">
        <w:rPr>
          <w:rFonts w:asciiTheme="minorHAnsi" w:hAnsiTheme="minorHAnsi"/>
          <w:sz w:val="22"/>
          <w:szCs w:val="22"/>
          <w:lang w:val="en-GB"/>
        </w:rPr>
        <w:t>I</w:t>
      </w:r>
      <w:r w:rsidRPr="000A6B0A">
        <w:rPr>
          <w:rFonts w:asciiTheme="minorHAnsi" w:hAnsiTheme="minorHAnsi"/>
          <w:sz w:val="22"/>
          <w:szCs w:val="22"/>
          <w:lang w:val="en-GB"/>
        </w:rPr>
        <w:t xml:space="preserve">n some cases such as Finland, Denmark, </w:t>
      </w:r>
      <w:r w:rsidR="0088154D" w:rsidRPr="000A6B0A">
        <w:rPr>
          <w:rFonts w:asciiTheme="minorHAnsi" w:hAnsiTheme="minorHAnsi"/>
          <w:sz w:val="22"/>
          <w:szCs w:val="22"/>
          <w:lang w:val="en-GB"/>
        </w:rPr>
        <w:t xml:space="preserve">Switzerland </w:t>
      </w:r>
      <w:r w:rsidR="00F45F05">
        <w:rPr>
          <w:rFonts w:asciiTheme="minorHAnsi" w:hAnsiTheme="minorHAnsi"/>
          <w:sz w:val="22"/>
          <w:szCs w:val="22"/>
          <w:lang w:val="en-GB"/>
        </w:rPr>
        <w:t>and</w:t>
      </w:r>
      <w:r w:rsidR="00F45F05"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Sweden, the </w:t>
      </w:r>
      <w:r w:rsidR="000D0F1D" w:rsidRPr="000A6B0A">
        <w:rPr>
          <w:rFonts w:asciiTheme="minorHAnsi" w:hAnsiTheme="minorHAnsi"/>
          <w:sz w:val="22"/>
          <w:szCs w:val="22"/>
          <w:lang w:val="en-GB"/>
        </w:rPr>
        <w:t xml:space="preserve">regulatory body </w:t>
      </w:r>
      <w:r w:rsidR="00420D3F" w:rsidRPr="000A6B0A">
        <w:rPr>
          <w:rFonts w:asciiTheme="minorHAnsi" w:hAnsiTheme="minorHAnsi"/>
          <w:sz w:val="22"/>
          <w:szCs w:val="22"/>
          <w:lang w:val="en-GB"/>
        </w:rPr>
        <w:t>has to date</w:t>
      </w:r>
      <w:r w:rsidRPr="000A6B0A">
        <w:rPr>
          <w:rFonts w:asciiTheme="minorHAnsi" w:hAnsiTheme="minorHAnsi"/>
          <w:sz w:val="22"/>
          <w:szCs w:val="22"/>
          <w:lang w:val="en-GB"/>
        </w:rPr>
        <w:t xml:space="preserve"> performed a </w:t>
      </w:r>
      <w:r w:rsidR="00C831A2" w:rsidRPr="000A6B0A">
        <w:rPr>
          <w:rFonts w:asciiTheme="minorHAnsi" w:hAnsiTheme="minorHAnsi"/>
          <w:sz w:val="22"/>
          <w:szCs w:val="22"/>
          <w:lang w:val="en-GB"/>
        </w:rPr>
        <w:t>summary</w:t>
      </w:r>
      <w:r w:rsidRPr="000A6B0A">
        <w:rPr>
          <w:rFonts w:asciiTheme="minorHAnsi" w:hAnsiTheme="minorHAnsi"/>
          <w:sz w:val="22"/>
          <w:szCs w:val="22"/>
          <w:lang w:val="en-GB"/>
        </w:rPr>
        <w:t xml:space="preserve"> review or no review at all for the main </w:t>
      </w:r>
      <w:r w:rsidR="009617E5" w:rsidRPr="000A6B0A">
        <w:rPr>
          <w:rFonts w:asciiTheme="minorHAnsi" w:hAnsiTheme="minorHAnsi"/>
          <w:sz w:val="22"/>
          <w:szCs w:val="22"/>
          <w:lang w:val="en-GB"/>
        </w:rPr>
        <w:t>IM</w:t>
      </w:r>
      <w:r w:rsidRPr="000A6B0A">
        <w:rPr>
          <w:rFonts w:asciiTheme="minorHAnsi" w:hAnsiTheme="minorHAnsi"/>
          <w:sz w:val="22"/>
          <w:szCs w:val="22"/>
          <w:lang w:val="en-GB"/>
        </w:rPr>
        <w:t>’s access charges.</w:t>
      </w:r>
      <w:r w:rsidR="00D130AD" w:rsidRPr="000A6B0A">
        <w:rPr>
          <w:rFonts w:asciiTheme="minorHAnsi" w:hAnsiTheme="minorHAnsi"/>
          <w:sz w:val="22"/>
          <w:szCs w:val="22"/>
          <w:lang w:val="en-GB"/>
        </w:rPr>
        <w:t xml:space="preserve"> In Italy, </w:t>
      </w:r>
      <w:r w:rsidR="00C831A2" w:rsidRPr="000A6B0A">
        <w:rPr>
          <w:rFonts w:asciiTheme="minorHAnsi" w:hAnsiTheme="minorHAnsi"/>
          <w:sz w:val="22"/>
          <w:szCs w:val="22"/>
          <w:lang w:val="en-GB"/>
        </w:rPr>
        <w:t xml:space="preserve">as said before, a new system </w:t>
      </w:r>
      <w:r w:rsidR="00F97C31">
        <w:rPr>
          <w:rFonts w:asciiTheme="minorHAnsi" w:hAnsiTheme="minorHAnsi"/>
          <w:sz w:val="22"/>
          <w:szCs w:val="22"/>
          <w:lang w:val="en-GB"/>
        </w:rPr>
        <w:t>was</w:t>
      </w:r>
      <w:r w:rsidR="00C831A2" w:rsidRPr="000A6B0A">
        <w:rPr>
          <w:rFonts w:asciiTheme="minorHAnsi" w:hAnsiTheme="minorHAnsi"/>
          <w:sz w:val="22"/>
          <w:szCs w:val="22"/>
          <w:lang w:val="en-GB"/>
        </w:rPr>
        <w:t xml:space="preserve"> implemented in July 2016 following the new regulation issued by ART </w:t>
      </w:r>
      <w:r w:rsidR="00F97C31">
        <w:rPr>
          <w:rFonts w:asciiTheme="minorHAnsi" w:hAnsiTheme="minorHAnsi"/>
          <w:sz w:val="22"/>
          <w:szCs w:val="22"/>
          <w:lang w:val="en-GB"/>
        </w:rPr>
        <w:t>in</w:t>
      </w:r>
      <w:r w:rsidR="00F97C31" w:rsidRPr="000A6B0A">
        <w:rPr>
          <w:rFonts w:asciiTheme="minorHAnsi" w:hAnsiTheme="minorHAnsi"/>
          <w:sz w:val="22"/>
          <w:szCs w:val="22"/>
          <w:lang w:val="en-GB"/>
        </w:rPr>
        <w:t xml:space="preserve"> </w:t>
      </w:r>
      <w:r w:rsidR="00C831A2" w:rsidRPr="000A6B0A">
        <w:rPr>
          <w:rFonts w:asciiTheme="minorHAnsi" w:hAnsiTheme="minorHAnsi"/>
          <w:sz w:val="22"/>
          <w:szCs w:val="22"/>
          <w:lang w:val="en-GB"/>
        </w:rPr>
        <w:t>November</w:t>
      </w:r>
      <w:r w:rsidR="00F97C31">
        <w:rPr>
          <w:rFonts w:asciiTheme="minorHAnsi" w:hAnsiTheme="minorHAnsi"/>
          <w:sz w:val="22"/>
          <w:szCs w:val="22"/>
          <w:lang w:val="en-GB"/>
        </w:rPr>
        <w:t xml:space="preserve"> 2015</w:t>
      </w:r>
      <w:r w:rsidR="00C831A2"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Other IRG-Rail members, namely </w:t>
      </w:r>
      <w:r w:rsidR="00F15C08" w:rsidRPr="000A6B0A">
        <w:rPr>
          <w:rFonts w:asciiTheme="minorHAnsi" w:hAnsiTheme="minorHAnsi"/>
          <w:sz w:val="22"/>
          <w:szCs w:val="22"/>
          <w:lang w:val="en-GB"/>
        </w:rPr>
        <w:t>Spain</w:t>
      </w:r>
      <w:r w:rsidR="00C63CDD">
        <w:rPr>
          <w:rFonts w:asciiTheme="minorHAnsi" w:hAnsiTheme="minorHAnsi"/>
          <w:sz w:val="22"/>
          <w:szCs w:val="22"/>
          <w:lang w:val="en-GB"/>
        </w:rPr>
        <w:t xml:space="preserve"> </w:t>
      </w:r>
      <w:r w:rsidR="00FF7B6C">
        <w:rPr>
          <w:rFonts w:asciiTheme="minorHAnsi" w:hAnsiTheme="minorHAnsi"/>
          <w:sz w:val="22"/>
          <w:szCs w:val="22"/>
          <w:lang w:val="en-GB"/>
        </w:rPr>
        <w:t>and Romania</w:t>
      </w:r>
      <w:r w:rsidRPr="000A6B0A">
        <w:rPr>
          <w:rFonts w:asciiTheme="minorHAnsi" w:hAnsiTheme="minorHAnsi"/>
          <w:sz w:val="22"/>
          <w:szCs w:val="22"/>
          <w:lang w:val="en-GB"/>
        </w:rPr>
        <w:t xml:space="preserve"> review charges </w:t>
      </w:r>
      <w:r w:rsidR="003712A4" w:rsidRPr="000A6B0A">
        <w:rPr>
          <w:rFonts w:asciiTheme="minorHAnsi" w:hAnsiTheme="minorHAnsi"/>
          <w:sz w:val="22"/>
          <w:szCs w:val="22"/>
          <w:lang w:val="en-GB"/>
        </w:rPr>
        <w:t>predominantly</w:t>
      </w:r>
      <w:r w:rsidRPr="000A6B0A">
        <w:rPr>
          <w:rFonts w:asciiTheme="minorHAnsi" w:hAnsiTheme="minorHAnsi"/>
          <w:sz w:val="22"/>
          <w:szCs w:val="22"/>
          <w:lang w:val="en-GB"/>
        </w:rPr>
        <w:t xml:space="preserve"> when dealing with complaints related to the level of charges, or when supervising negotiations.</w:t>
      </w:r>
    </w:p>
    <w:p w:rsidR="000D2D45" w:rsidRPr="000A6B0A" w:rsidRDefault="000D2D45" w:rsidP="000D2D45">
      <w:pPr>
        <w:spacing w:line="276" w:lineRule="auto"/>
        <w:jc w:val="both"/>
        <w:rPr>
          <w:rFonts w:asciiTheme="minorHAnsi" w:hAnsiTheme="minorHAnsi"/>
          <w:sz w:val="22"/>
          <w:szCs w:val="22"/>
          <w:lang w:val="en-GB"/>
        </w:rPr>
      </w:pPr>
    </w:p>
    <w:p w:rsidR="00C54CEB"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Croatia, Greece, </w:t>
      </w:r>
      <w:r w:rsidR="00E018A6" w:rsidRPr="000A6B0A">
        <w:rPr>
          <w:rFonts w:asciiTheme="minorHAnsi" w:hAnsiTheme="minorHAnsi"/>
          <w:sz w:val="22"/>
          <w:szCs w:val="22"/>
          <w:lang w:val="en-GB"/>
        </w:rPr>
        <w:t xml:space="preserve">Finland, </w:t>
      </w:r>
      <w:r w:rsidRPr="000A6B0A">
        <w:rPr>
          <w:rFonts w:asciiTheme="minorHAnsi" w:hAnsiTheme="minorHAnsi"/>
          <w:sz w:val="22"/>
          <w:szCs w:val="22"/>
          <w:lang w:val="en-GB"/>
        </w:rPr>
        <w:t>Hungary, Norway</w:t>
      </w:r>
      <w:r w:rsidR="00DF6B17">
        <w:rPr>
          <w:rStyle w:val="Appelnotedebasdep"/>
          <w:rFonts w:asciiTheme="minorHAnsi" w:hAnsiTheme="minorHAnsi"/>
          <w:sz w:val="22"/>
          <w:szCs w:val="22"/>
          <w:lang w:val="en-GB"/>
        </w:rPr>
        <w:footnoteReference w:id="61"/>
      </w:r>
      <w:r w:rsidR="0088154D" w:rsidRPr="000A6B0A">
        <w:rPr>
          <w:rFonts w:asciiTheme="minorHAnsi" w:hAnsiTheme="minorHAnsi"/>
          <w:sz w:val="22"/>
          <w:szCs w:val="22"/>
          <w:lang w:val="en-GB"/>
        </w:rPr>
        <w:t>,</w:t>
      </w:r>
      <w:r w:rsidRPr="000A6B0A">
        <w:rPr>
          <w:rFonts w:asciiTheme="minorHAnsi" w:hAnsiTheme="minorHAnsi"/>
          <w:sz w:val="22"/>
          <w:szCs w:val="22"/>
          <w:lang w:val="en-GB"/>
        </w:rPr>
        <w:t xml:space="preserve"> </w:t>
      </w:r>
      <w:r w:rsidR="0088154D" w:rsidRPr="000A6B0A">
        <w:rPr>
          <w:rFonts w:asciiTheme="minorHAnsi" w:hAnsiTheme="minorHAnsi"/>
          <w:sz w:val="22"/>
          <w:szCs w:val="22"/>
          <w:lang w:val="en-GB"/>
        </w:rPr>
        <w:t xml:space="preserve">Switzerland </w:t>
      </w:r>
      <w:r w:rsidRPr="000A6B0A">
        <w:rPr>
          <w:rFonts w:asciiTheme="minorHAnsi" w:hAnsiTheme="minorHAnsi"/>
          <w:sz w:val="22"/>
          <w:szCs w:val="22"/>
          <w:lang w:val="en-GB"/>
        </w:rPr>
        <w:t>and Sweden do</w:t>
      </w:r>
      <w:r w:rsidR="00420D3F" w:rsidRPr="000A6B0A">
        <w:rPr>
          <w:rFonts w:asciiTheme="minorHAnsi" w:hAnsiTheme="minorHAnsi"/>
          <w:sz w:val="22"/>
          <w:szCs w:val="22"/>
          <w:lang w:val="en-GB"/>
        </w:rPr>
        <w:t xml:space="preserve"> not</w:t>
      </w:r>
      <w:r w:rsidRPr="000A6B0A">
        <w:rPr>
          <w:rFonts w:asciiTheme="minorHAnsi" w:hAnsiTheme="minorHAnsi"/>
          <w:sz w:val="22"/>
          <w:szCs w:val="22"/>
          <w:lang w:val="en-GB"/>
        </w:rPr>
        <w:t xml:space="preserve"> have the power of </w:t>
      </w:r>
      <w:r w:rsidRPr="000A6B0A">
        <w:rPr>
          <w:rFonts w:asciiTheme="minorHAnsi" w:hAnsiTheme="minorHAnsi"/>
          <w:i/>
          <w:sz w:val="22"/>
          <w:szCs w:val="22"/>
          <w:lang w:val="en-GB"/>
        </w:rPr>
        <w:t>ex</w:t>
      </w:r>
      <w:r w:rsidR="00771B6E" w:rsidRPr="000A6B0A">
        <w:rPr>
          <w:rFonts w:asciiTheme="minorHAnsi" w:hAnsiTheme="minorHAnsi"/>
          <w:i/>
          <w:sz w:val="22"/>
          <w:szCs w:val="22"/>
          <w:lang w:val="en-GB"/>
        </w:rPr>
        <w:t xml:space="preserve"> </w:t>
      </w:r>
      <w:r w:rsidRPr="000A6B0A">
        <w:rPr>
          <w:rFonts w:asciiTheme="minorHAnsi" w:hAnsiTheme="minorHAnsi"/>
          <w:i/>
          <w:sz w:val="22"/>
          <w:szCs w:val="22"/>
          <w:lang w:val="en-GB"/>
        </w:rPr>
        <w:t>ante</w:t>
      </w:r>
      <w:r w:rsidRPr="000A6B0A">
        <w:rPr>
          <w:rFonts w:asciiTheme="minorHAnsi" w:hAnsiTheme="minorHAnsi"/>
          <w:sz w:val="22"/>
          <w:szCs w:val="22"/>
          <w:lang w:val="en-GB"/>
        </w:rPr>
        <w:t xml:space="preserve"> control of charging principles.</w:t>
      </w:r>
      <w:r w:rsidR="00C34E0E" w:rsidRPr="00C34E0E">
        <w:rPr>
          <w:rFonts w:asciiTheme="minorHAnsi" w:hAnsiTheme="minorHAnsi"/>
          <w:sz w:val="22"/>
          <w:szCs w:val="22"/>
          <w:lang w:val="en-GB"/>
        </w:rPr>
        <w:t xml:space="preserve"> </w:t>
      </w:r>
    </w:p>
    <w:p w:rsidR="00C54CEB" w:rsidRPr="000A6B0A" w:rsidRDefault="00C54CEB" w:rsidP="00C54CEB">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 ,</w:t>
      </w:r>
    </w:p>
    <w:p w:rsidR="000D2D45" w:rsidRPr="000A6B0A" w:rsidRDefault="00C34E0E" w:rsidP="000D2D45">
      <w:pPr>
        <w:spacing w:line="276" w:lineRule="auto"/>
        <w:jc w:val="both"/>
        <w:rPr>
          <w:rFonts w:asciiTheme="minorHAnsi" w:hAnsiTheme="minorHAnsi"/>
          <w:sz w:val="22"/>
          <w:szCs w:val="22"/>
          <w:lang w:val="en-GB"/>
        </w:rPr>
      </w:pPr>
      <w:r>
        <w:rPr>
          <w:rFonts w:asciiTheme="minorHAnsi" w:hAnsiTheme="minorHAnsi"/>
          <w:sz w:val="22"/>
          <w:szCs w:val="22"/>
          <w:lang w:val="en-GB"/>
        </w:rPr>
        <w:t>In Portugal, the Regulatory Body (AMT) reviews the methodology of charges calculation once, and according to the bylaws, AMT has to homologate the tariffs considered concerning the use of railway infrastructure in the Network Statement. Regarding the cost assessment, AMT evaluates all the costs that are being included in the tariffs, analysing the costing model and all the costs (direct and indirect) to understand the suitability of these costs with the Regulation (EU) 2015/909.</w:t>
      </w:r>
    </w:p>
    <w:p w:rsidR="00603222" w:rsidRPr="000A6B0A" w:rsidRDefault="00603222" w:rsidP="00603222">
      <w:pPr>
        <w:spacing w:line="276" w:lineRule="auto"/>
        <w:jc w:val="both"/>
        <w:rPr>
          <w:rFonts w:asciiTheme="minorHAnsi" w:hAnsiTheme="minorHAnsi"/>
          <w:sz w:val="22"/>
          <w:szCs w:val="22"/>
          <w:lang w:val="en-GB"/>
        </w:rPr>
      </w:pPr>
    </w:p>
    <w:p w:rsidR="00F97C31" w:rsidRDefault="00F97C31" w:rsidP="00F97C31">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Only the French, </w:t>
      </w:r>
      <w:r w:rsidR="00495EEB">
        <w:rPr>
          <w:rFonts w:asciiTheme="minorHAnsi" w:hAnsiTheme="minorHAnsi"/>
          <w:sz w:val="22"/>
          <w:szCs w:val="22"/>
          <w:lang w:val="en-GB"/>
        </w:rPr>
        <w:t>the UK, the</w:t>
      </w:r>
      <w:r>
        <w:rPr>
          <w:rFonts w:asciiTheme="minorHAnsi" w:hAnsiTheme="minorHAnsi"/>
          <w:sz w:val="22"/>
          <w:szCs w:val="22"/>
          <w:lang w:val="en-GB"/>
        </w:rPr>
        <w:t xml:space="preserve"> Polish</w:t>
      </w:r>
      <w:r w:rsidR="00C34E0E">
        <w:rPr>
          <w:rFonts w:asciiTheme="minorHAnsi" w:hAnsiTheme="minorHAnsi"/>
          <w:sz w:val="22"/>
          <w:szCs w:val="22"/>
          <w:lang w:val="en-GB"/>
        </w:rPr>
        <w:t>, the Portuguese</w:t>
      </w:r>
      <w:r w:rsidR="00495EEB">
        <w:rPr>
          <w:rFonts w:asciiTheme="minorHAnsi" w:hAnsiTheme="minorHAnsi"/>
          <w:sz w:val="22"/>
          <w:szCs w:val="22"/>
          <w:lang w:val="en-GB"/>
        </w:rPr>
        <w:t xml:space="preserve"> and the German</w:t>
      </w:r>
      <w:r>
        <w:rPr>
          <w:rFonts w:asciiTheme="minorHAnsi" w:hAnsiTheme="minorHAnsi"/>
          <w:sz w:val="22"/>
          <w:szCs w:val="22"/>
          <w:lang w:val="en-GB"/>
        </w:rPr>
        <w:t xml:space="preserve"> regulators approve the charges. In France</w:t>
      </w:r>
      <w:r w:rsidR="00C34E0E">
        <w:rPr>
          <w:rFonts w:asciiTheme="minorHAnsi" w:hAnsiTheme="minorHAnsi"/>
          <w:sz w:val="22"/>
          <w:szCs w:val="22"/>
          <w:lang w:val="en-GB"/>
        </w:rPr>
        <w:t>, Portugal</w:t>
      </w:r>
      <w:r>
        <w:rPr>
          <w:rFonts w:asciiTheme="minorHAnsi" w:hAnsiTheme="minorHAnsi"/>
          <w:sz w:val="22"/>
          <w:szCs w:val="22"/>
          <w:lang w:val="en-GB"/>
        </w:rPr>
        <w:t xml:space="preserve"> and Poland, all rail IM charges are approved every year, prior to their entry into force. In the UK the regulatory body approves the charges every five years. </w:t>
      </w:r>
      <w:r w:rsidR="00495EEB">
        <w:rPr>
          <w:rFonts w:asciiTheme="minorHAnsi" w:hAnsiTheme="minorHAnsi"/>
          <w:sz w:val="22"/>
          <w:szCs w:val="22"/>
          <w:lang w:val="en-GB"/>
        </w:rPr>
        <w:t xml:space="preserve">In Germany a five year regulatory period applies, while access charges are approved each year on the basis of an ex ante regulation, adjusting, as an example, for inflation and productivity growth. </w:t>
      </w:r>
      <w:r>
        <w:rPr>
          <w:rFonts w:asciiTheme="minorHAnsi" w:hAnsiTheme="minorHAnsi"/>
          <w:sz w:val="22"/>
          <w:szCs w:val="22"/>
          <w:lang w:val="en-GB"/>
        </w:rPr>
        <w:t>In Austria, Finland, Slovakia and Norway</w:t>
      </w:r>
      <w:r w:rsidR="00DF6B17">
        <w:rPr>
          <w:rStyle w:val="Appelnotedebasdep"/>
          <w:rFonts w:asciiTheme="minorHAnsi" w:hAnsiTheme="minorHAnsi"/>
          <w:sz w:val="22"/>
          <w:szCs w:val="22"/>
          <w:lang w:val="en-GB"/>
        </w:rPr>
        <w:footnoteReference w:id="62"/>
      </w:r>
      <w:r>
        <w:rPr>
          <w:rFonts w:asciiTheme="minorHAnsi" w:hAnsiTheme="minorHAnsi"/>
          <w:sz w:val="22"/>
          <w:szCs w:val="22"/>
          <w:lang w:val="en-GB"/>
        </w:rPr>
        <w:t xml:space="preserve">, the Transport Ministry is also involved in the approval of charges. </w:t>
      </w:r>
      <w:r w:rsidR="00495EEB">
        <w:rPr>
          <w:rFonts w:asciiTheme="minorHAnsi" w:hAnsiTheme="minorHAnsi"/>
          <w:sz w:val="22"/>
          <w:szCs w:val="22"/>
          <w:lang w:val="en-GB"/>
        </w:rPr>
        <w:t>Italy verifies</w:t>
      </w:r>
      <w:r>
        <w:rPr>
          <w:rFonts w:asciiTheme="minorHAnsi" w:hAnsiTheme="minorHAnsi"/>
          <w:sz w:val="22"/>
          <w:szCs w:val="22"/>
          <w:lang w:val="en-GB"/>
        </w:rPr>
        <w:t xml:space="preserve"> access charges before they are applied. </w:t>
      </w:r>
      <w:r w:rsidR="00495EEB">
        <w:rPr>
          <w:rFonts w:asciiTheme="minorHAnsi" w:hAnsiTheme="minorHAnsi"/>
          <w:sz w:val="22"/>
          <w:szCs w:val="22"/>
          <w:lang w:val="en-GB"/>
        </w:rPr>
        <w:t>A</w:t>
      </w:r>
      <w:r>
        <w:rPr>
          <w:rFonts w:asciiTheme="minorHAnsi" w:hAnsiTheme="minorHAnsi"/>
          <w:sz w:val="22"/>
          <w:szCs w:val="22"/>
          <w:lang w:val="en-GB"/>
        </w:rPr>
        <w:t>ccess charges must be verified by the regulatory body</w:t>
      </w:r>
      <w:r w:rsidR="00495EEB">
        <w:rPr>
          <w:rFonts w:asciiTheme="minorHAnsi" w:hAnsiTheme="minorHAnsi"/>
          <w:sz w:val="22"/>
          <w:szCs w:val="22"/>
          <w:lang w:val="en-GB"/>
        </w:rPr>
        <w:t xml:space="preserve"> (ART)</w:t>
      </w:r>
      <w:r>
        <w:rPr>
          <w:rFonts w:asciiTheme="minorHAnsi" w:hAnsiTheme="minorHAnsi"/>
          <w:sz w:val="22"/>
          <w:szCs w:val="22"/>
          <w:lang w:val="en-GB"/>
        </w:rPr>
        <w:t xml:space="preserve">, in order to assess if they are coherent with the Law and regulation. In Austria, according </w:t>
      </w:r>
      <w:r>
        <w:rPr>
          <w:rFonts w:ascii="Tahoma" w:hAnsi="Tahoma" w:cs="Tahoma"/>
          <w:color w:val="000000"/>
          <w:sz w:val="20"/>
          <w:szCs w:val="20"/>
          <w:lang w:val="en-GB"/>
        </w:rPr>
        <w:t>to § 67d EisbG (national railway act), if mark ups on direct cost charges are levied, they have to be approved by the regulatory body.</w:t>
      </w:r>
      <w:r w:rsidR="00C34E0E">
        <w:rPr>
          <w:rFonts w:ascii="Tahoma" w:hAnsi="Tahoma" w:cs="Tahoma"/>
          <w:color w:val="000000"/>
          <w:sz w:val="20"/>
          <w:szCs w:val="20"/>
          <w:lang w:val="en-GB"/>
        </w:rPr>
        <w:t xml:space="preserve"> The same is true for Portugal.</w:t>
      </w:r>
    </w:p>
    <w:p w:rsidR="00F76292" w:rsidRPr="000A6B0A" w:rsidRDefault="00F76292" w:rsidP="000D2D45">
      <w:pPr>
        <w:spacing w:line="276" w:lineRule="auto"/>
        <w:jc w:val="both"/>
        <w:rPr>
          <w:rFonts w:asciiTheme="minorHAnsi" w:hAnsiTheme="minorHAnsi"/>
          <w:b/>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bCs/>
          <w:i/>
          <w:sz w:val="22"/>
          <w:szCs w:val="22"/>
          <w:lang w:val="en-GB"/>
        </w:rPr>
      </w:pPr>
      <w:r w:rsidRPr="000A6B0A">
        <w:rPr>
          <w:rFonts w:asciiTheme="minorHAnsi" w:hAnsiTheme="minorHAnsi"/>
          <w:i/>
          <w:noProof/>
          <w:sz w:val="22"/>
          <w:szCs w:val="22"/>
          <w:lang w:val="en-GB"/>
        </w:rPr>
        <w:t>Documents e</w:t>
      </w:r>
      <w:r w:rsidR="00603222" w:rsidRPr="000A6B0A">
        <w:rPr>
          <w:rFonts w:asciiTheme="minorHAnsi" w:hAnsiTheme="minorHAnsi"/>
          <w:i/>
          <w:noProof/>
          <w:sz w:val="22"/>
          <w:szCs w:val="22"/>
          <w:lang w:val="en-GB"/>
        </w:rPr>
        <w:t>xamined in the charges review</w:t>
      </w:r>
    </w:p>
    <w:p w:rsidR="000D2D45" w:rsidRPr="000A6B0A" w:rsidRDefault="000D2D45" w:rsidP="000D2D45">
      <w:pPr>
        <w:spacing w:line="276" w:lineRule="auto"/>
        <w:jc w:val="both"/>
        <w:rPr>
          <w:rFonts w:asciiTheme="minorHAnsi" w:hAnsiTheme="minorHAnsi"/>
          <w:b/>
          <w:sz w:val="22"/>
          <w:szCs w:val="22"/>
          <w:lang w:val="en-GB"/>
        </w:rPr>
      </w:pPr>
    </w:p>
    <w:p w:rsidR="00F97C31"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When reviewing the charges, the regulatory bodies examine a variety of documents. As a matter of fact, in addition to the network statement, some regulators look into accounts and regulatory statements. Depending on the country, other specific documents are examined. These </w:t>
      </w:r>
      <w:r w:rsidR="00C047DE">
        <w:rPr>
          <w:rFonts w:asciiTheme="minorHAnsi" w:hAnsiTheme="minorHAnsi"/>
          <w:sz w:val="22"/>
          <w:szCs w:val="22"/>
          <w:lang w:val="en-GB"/>
        </w:rPr>
        <w:t xml:space="preserve">ones </w:t>
      </w:r>
      <w:r w:rsidRPr="000A6B0A">
        <w:rPr>
          <w:rFonts w:asciiTheme="minorHAnsi" w:hAnsiTheme="minorHAnsi"/>
          <w:sz w:val="22"/>
          <w:szCs w:val="22"/>
          <w:lang w:val="en-GB"/>
        </w:rPr>
        <w:t xml:space="preserve">range </w:t>
      </w:r>
      <w:r w:rsidRPr="000A6B0A">
        <w:rPr>
          <w:rFonts w:asciiTheme="minorHAnsi" w:hAnsiTheme="minorHAnsi"/>
          <w:sz w:val="22"/>
          <w:szCs w:val="22"/>
          <w:lang w:val="en-GB"/>
        </w:rPr>
        <w:lastRenderedPageBreak/>
        <w:t xml:space="preserve">from studies or technical reports that the </w:t>
      </w:r>
      <w:r w:rsidR="009617E5" w:rsidRPr="000A6B0A">
        <w:rPr>
          <w:rFonts w:asciiTheme="minorHAnsi" w:hAnsiTheme="minorHAnsi"/>
          <w:sz w:val="22"/>
          <w:szCs w:val="22"/>
          <w:lang w:val="en-GB"/>
        </w:rPr>
        <w:t>IM</w:t>
      </w:r>
      <w:r w:rsidR="00A03B89" w:rsidRPr="000A6B0A">
        <w:rPr>
          <w:rFonts w:asciiTheme="minorHAnsi" w:hAnsiTheme="minorHAnsi"/>
          <w:sz w:val="22"/>
          <w:szCs w:val="22"/>
          <w:lang w:val="en-GB"/>
        </w:rPr>
        <w:t xml:space="preserve">s are obliged to prepare </w:t>
      </w:r>
      <w:r w:rsidRPr="000A6B0A">
        <w:rPr>
          <w:rFonts w:asciiTheme="minorHAnsi" w:hAnsiTheme="minorHAnsi"/>
          <w:sz w:val="22"/>
          <w:szCs w:val="22"/>
          <w:lang w:val="en-GB"/>
        </w:rPr>
        <w:t xml:space="preserve">to business plans, cost models and charging methodologies, contracts with the State and with railway undertakings, and the opinions of stakeholders on charges. In Poland,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w:t>
      </w:r>
      <w:r w:rsidR="00420D3F" w:rsidRPr="000A6B0A">
        <w:rPr>
          <w:rFonts w:asciiTheme="minorHAnsi" w:hAnsiTheme="minorHAnsi"/>
          <w:sz w:val="22"/>
          <w:szCs w:val="22"/>
          <w:lang w:val="en-GB"/>
        </w:rPr>
        <w:t>must</w:t>
      </w:r>
      <w:r w:rsidRPr="000A6B0A">
        <w:rPr>
          <w:rFonts w:asciiTheme="minorHAnsi" w:hAnsiTheme="minorHAnsi"/>
          <w:sz w:val="22"/>
          <w:szCs w:val="22"/>
          <w:lang w:val="en-GB"/>
        </w:rPr>
        <w:t xml:space="preserve"> submit applications for approval of unit rates of charges with the calculation of costs. </w:t>
      </w:r>
    </w:p>
    <w:p w:rsidR="00F97C31" w:rsidRDefault="00F97C31"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Disparities are due to the existence of many national legal frameworks, different obligations </w:t>
      </w:r>
      <w:r w:rsidR="00F97C31">
        <w:rPr>
          <w:rFonts w:asciiTheme="minorHAnsi" w:hAnsiTheme="minorHAnsi"/>
          <w:sz w:val="22"/>
          <w:szCs w:val="22"/>
          <w:lang w:val="en-GB"/>
        </w:rPr>
        <w:t>of</w:t>
      </w:r>
      <w:r w:rsidR="00F97C31" w:rsidRPr="000A6B0A">
        <w:rPr>
          <w:rFonts w:asciiTheme="minorHAnsi" w:hAnsiTheme="minorHAnsi"/>
          <w:sz w:val="22"/>
          <w:szCs w:val="22"/>
          <w:lang w:val="en-GB"/>
        </w:rPr>
        <w:t xml:space="preserve"> </w:t>
      </w:r>
      <w:r w:rsidR="009617E5" w:rsidRPr="000A6B0A">
        <w:rPr>
          <w:rFonts w:asciiTheme="minorHAnsi" w:hAnsiTheme="minorHAnsi"/>
          <w:sz w:val="22"/>
          <w:szCs w:val="22"/>
          <w:lang w:val="en-GB"/>
        </w:rPr>
        <w:t>IM</w:t>
      </w:r>
      <w:r w:rsidRPr="000A6B0A">
        <w:rPr>
          <w:rFonts w:asciiTheme="minorHAnsi" w:hAnsiTheme="minorHAnsi"/>
          <w:sz w:val="22"/>
          <w:szCs w:val="22"/>
          <w:lang w:val="en-GB"/>
        </w:rPr>
        <w:t>s and railway undertakings and different processes of establishing charges. In Hungary</w:t>
      </w:r>
      <w:r w:rsidR="00C047DE">
        <w:rPr>
          <w:rFonts w:asciiTheme="minorHAnsi" w:hAnsiTheme="minorHAnsi"/>
          <w:sz w:val="22"/>
          <w:szCs w:val="22"/>
          <w:lang w:val="en-GB"/>
        </w:rPr>
        <w:t>,</w:t>
      </w:r>
      <w:r w:rsidRPr="000A6B0A">
        <w:rPr>
          <w:rFonts w:asciiTheme="minorHAnsi" w:hAnsiTheme="minorHAnsi"/>
          <w:sz w:val="22"/>
          <w:szCs w:val="22"/>
          <w:lang w:val="en-GB"/>
        </w:rPr>
        <w:t xml:space="preserve"> for instance, in addition to the annual charging document, the regulatory body examines the charging methodology </w:t>
      </w:r>
      <w:r w:rsidR="00A03B89" w:rsidRPr="000A6B0A">
        <w:rPr>
          <w:rFonts w:asciiTheme="minorHAnsi" w:hAnsiTheme="minorHAnsi"/>
          <w:sz w:val="22"/>
          <w:szCs w:val="22"/>
          <w:lang w:val="en-GB"/>
        </w:rPr>
        <w:t>set</w:t>
      </w:r>
      <w:r w:rsidRPr="000A6B0A">
        <w:rPr>
          <w:rFonts w:asciiTheme="minorHAnsi" w:hAnsiTheme="minorHAnsi"/>
          <w:sz w:val="22"/>
          <w:szCs w:val="22"/>
          <w:lang w:val="en-GB"/>
        </w:rPr>
        <w:t xml:space="preserve"> for </w:t>
      </w:r>
      <w:r w:rsidR="00F15C08" w:rsidRPr="000A6B0A">
        <w:rPr>
          <w:rFonts w:asciiTheme="minorHAnsi" w:hAnsiTheme="minorHAnsi"/>
          <w:sz w:val="22"/>
          <w:szCs w:val="22"/>
          <w:lang w:val="en-GB"/>
        </w:rPr>
        <w:t xml:space="preserve">a </w:t>
      </w:r>
      <w:r w:rsidRPr="000A6B0A">
        <w:rPr>
          <w:rFonts w:asciiTheme="minorHAnsi" w:hAnsiTheme="minorHAnsi"/>
          <w:sz w:val="22"/>
          <w:szCs w:val="22"/>
          <w:lang w:val="en-GB"/>
        </w:rPr>
        <w:t>five year</w:t>
      </w:r>
      <w:r w:rsidR="00A03B89" w:rsidRPr="000A6B0A">
        <w:rPr>
          <w:rFonts w:asciiTheme="minorHAnsi" w:hAnsiTheme="minorHAnsi"/>
          <w:sz w:val="22"/>
          <w:szCs w:val="22"/>
          <w:lang w:val="en-GB"/>
        </w:rPr>
        <w:t xml:space="preserve"> period</w:t>
      </w:r>
      <w:r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Regarding the collection of cost data, some countries, </w:t>
      </w:r>
      <w:r w:rsidR="00420D3F" w:rsidRPr="000A6B0A">
        <w:rPr>
          <w:rFonts w:asciiTheme="minorHAnsi" w:hAnsiTheme="minorHAnsi"/>
          <w:sz w:val="22"/>
          <w:szCs w:val="22"/>
          <w:lang w:val="en-GB"/>
        </w:rPr>
        <w:t>such as</w:t>
      </w:r>
      <w:r w:rsidRPr="000A6B0A">
        <w:rPr>
          <w:rFonts w:asciiTheme="minorHAnsi" w:hAnsiTheme="minorHAnsi"/>
          <w:sz w:val="22"/>
          <w:szCs w:val="22"/>
          <w:lang w:val="en-GB"/>
        </w:rPr>
        <w:t xml:space="preserve"> France and </w:t>
      </w:r>
      <w:r w:rsidR="00495EEB">
        <w:rPr>
          <w:rFonts w:asciiTheme="minorHAnsi" w:hAnsiTheme="minorHAnsi"/>
          <w:sz w:val="22"/>
          <w:szCs w:val="22"/>
          <w:lang w:val="en-GB"/>
        </w:rPr>
        <w:t>Spain</w:t>
      </w:r>
      <w:r w:rsidRPr="000A6B0A">
        <w:rPr>
          <w:rFonts w:asciiTheme="minorHAnsi" w:hAnsiTheme="minorHAnsi"/>
          <w:sz w:val="22"/>
          <w:szCs w:val="22"/>
          <w:lang w:val="en-GB"/>
        </w:rPr>
        <w:t xml:space="preserve">, declare having difficulties to </w:t>
      </w:r>
      <w:r w:rsidR="00420D3F" w:rsidRPr="000A6B0A">
        <w:rPr>
          <w:rFonts w:asciiTheme="minorHAnsi" w:hAnsiTheme="minorHAnsi"/>
          <w:sz w:val="22"/>
          <w:szCs w:val="22"/>
          <w:lang w:val="en-GB"/>
        </w:rPr>
        <w:t>obtain</w:t>
      </w:r>
      <w:r w:rsidRPr="000A6B0A">
        <w:rPr>
          <w:rFonts w:asciiTheme="minorHAnsi" w:hAnsiTheme="minorHAnsi"/>
          <w:sz w:val="22"/>
          <w:szCs w:val="22"/>
          <w:lang w:val="en-GB"/>
        </w:rPr>
        <w:t xml:space="preserve"> this information. Sometimes, this can be explained by the IM’s lack of a proper information system</w:t>
      </w:r>
      <w:r w:rsidR="004D3B5C" w:rsidRPr="000A6B0A">
        <w:rPr>
          <w:rFonts w:asciiTheme="minorHAnsi" w:hAnsiTheme="minorHAnsi"/>
          <w:sz w:val="22"/>
          <w:szCs w:val="22"/>
          <w:lang w:val="en-GB"/>
        </w:rPr>
        <w:t xml:space="preserve"> (this is the case in Spain where the IM is adjusting the cost accounting model to the new charging framework)</w:t>
      </w:r>
      <w:r w:rsidRPr="000A6B0A">
        <w:rPr>
          <w:rFonts w:asciiTheme="minorHAnsi" w:hAnsiTheme="minorHAnsi"/>
          <w:sz w:val="22"/>
          <w:szCs w:val="22"/>
          <w:lang w:val="en-GB"/>
        </w:rPr>
        <w:t>. In other cases, the cost data is provided at an aggregated level, even though the IM m</w:t>
      </w:r>
      <w:r w:rsidR="00A202CC" w:rsidRPr="000A6B0A">
        <w:rPr>
          <w:rFonts w:asciiTheme="minorHAnsi" w:hAnsiTheme="minorHAnsi"/>
          <w:sz w:val="22"/>
          <w:szCs w:val="22"/>
          <w:lang w:val="en-GB"/>
        </w:rPr>
        <w:t xml:space="preserve">ay possess more detailed data. </w:t>
      </w:r>
      <w:r w:rsidR="003712A4" w:rsidRPr="000A6B0A">
        <w:rPr>
          <w:rFonts w:asciiTheme="minorHAnsi" w:hAnsiTheme="minorHAnsi"/>
          <w:sz w:val="22"/>
          <w:szCs w:val="22"/>
          <w:lang w:val="en-GB"/>
        </w:rPr>
        <w:t>In the Netherlands</w:t>
      </w:r>
      <w:r w:rsidR="00FF7B6C">
        <w:rPr>
          <w:rFonts w:asciiTheme="minorHAnsi" w:hAnsiTheme="minorHAnsi"/>
          <w:sz w:val="22"/>
          <w:szCs w:val="22"/>
          <w:lang w:val="en-GB"/>
        </w:rPr>
        <w:t xml:space="preserve"> and in Romania</w:t>
      </w:r>
      <w:r w:rsidR="003712A4" w:rsidRPr="000A6B0A">
        <w:rPr>
          <w:rFonts w:asciiTheme="minorHAnsi" w:hAnsiTheme="minorHAnsi"/>
          <w:sz w:val="22"/>
          <w:szCs w:val="22"/>
          <w:lang w:val="en-GB"/>
        </w:rPr>
        <w:t>, the regulatory bod</w:t>
      </w:r>
      <w:r w:rsidR="00FF7B6C">
        <w:rPr>
          <w:rFonts w:asciiTheme="minorHAnsi" w:hAnsiTheme="minorHAnsi"/>
          <w:sz w:val="22"/>
          <w:szCs w:val="22"/>
          <w:lang w:val="en-GB"/>
        </w:rPr>
        <w:t>ies</w:t>
      </w:r>
      <w:r w:rsidR="004D3B5C" w:rsidRPr="000A6B0A">
        <w:rPr>
          <w:rFonts w:asciiTheme="minorHAnsi" w:hAnsiTheme="minorHAnsi"/>
          <w:sz w:val="22"/>
          <w:szCs w:val="22"/>
          <w:lang w:val="en-GB"/>
        </w:rPr>
        <w:t xml:space="preserve"> </w:t>
      </w:r>
      <w:r w:rsidR="003712A4" w:rsidRPr="000A6B0A">
        <w:rPr>
          <w:rFonts w:asciiTheme="minorHAnsi" w:hAnsiTheme="minorHAnsi"/>
          <w:sz w:val="22"/>
          <w:szCs w:val="22"/>
          <w:lang w:val="en-GB"/>
        </w:rPr>
        <w:t>ha</w:t>
      </w:r>
      <w:r w:rsidR="00FF7B6C">
        <w:rPr>
          <w:rFonts w:asciiTheme="minorHAnsi" w:hAnsiTheme="minorHAnsi"/>
          <w:sz w:val="22"/>
          <w:szCs w:val="22"/>
          <w:lang w:val="en-GB"/>
        </w:rPr>
        <w:t>ve</w:t>
      </w:r>
      <w:r w:rsidR="003712A4" w:rsidRPr="000A6B0A">
        <w:rPr>
          <w:rFonts w:asciiTheme="minorHAnsi" w:hAnsiTheme="minorHAnsi"/>
          <w:sz w:val="22"/>
          <w:szCs w:val="22"/>
          <w:lang w:val="en-GB"/>
        </w:rPr>
        <w:t xml:space="preserve"> powers to enforce pecuniary penalties to constrain companies to provide information.</w:t>
      </w:r>
      <w:r w:rsidR="00C34E0E" w:rsidRPr="00C34E0E">
        <w:rPr>
          <w:rFonts w:asciiTheme="minorHAnsi" w:hAnsiTheme="minorHAnsi"/>
          <w:sz w:val="22"/>
          <w:szCs w:val="22"/>
          <w:lang w:val="en-GB"/>
        </w:rPr>
        <w:t xml:space="preserve"> </w:t>
      </w:r>
      <w:r w:rsidR="00C34E0E">
        <w:rPr>
          <w:rFonts w:asciiTheme="minorHAnsi" w:hAnsiTheme="minorHAnsi"/>
          <w:sz w:val="22"/>
          <w:szCs w:val="22"/>
          <w:lang w:val="en-GB"/>
        </w:rPr>
        <w:t>In Portugal, the IM always provided the necessary information and whenever more detail was needed it was provided. With the revision of the charging model the IM will have to adapt its cost accounting model to the new charging framework, however that is an on-going process and the RB will analyse the impacts of this in the next period.</w:t>
      </w:r>
    </w:p>
    <w:p w:rsidR="000D2D45" w:rsidRPr="000A6B0A" w:rsidRDefault="000D2D45" w:rsidP="000D2D45">
      <w:pPr>
        <w:spacing w:line="276" w:lineRule="auto"/>
        <w:jc w:val="both"/>
        <w:rPr>
          <w:rFonts w:asciiTheme="minorHAnsi" w:hAnsiTheme="minorHAnsi"/>
          <w:b/>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Only a </w:t>
      </w:r>
      <w:r w:rsidR="00AE5EE9" w:rsidRPr="000A6B0A">
        <w:rPr>
          <w:rFonts w:asciiTheme="minorHAnsi" w:hAnsiTheme="minorHAnsi"/>
          <w:sz w:val="22"/>
          <w:szCs w:val="22"/>
          <w:lang w:val="en-GB"/>
        </w:rPr>
        <w:t xml:space="preserve">small </w:t>
      </w:r>
      <w:r w:rsidRPr="000A6B0A">
        <w:rPr>
          <w:rFonts w:asciiTheme="minorHAnsi" w:hAnsiTheme="minorHAnsi"/>
          <w:sz w:val="22"/>
          <w:szCs w:val="22"/>
          <w:lang w:val="en-GB"/>
        </w:rPr>
        <w:t xml:space="preserve">number of regulators </w:t>
      </w:r>
      <w:r w:rsidR="00420D3F" w:rsidRPr="000A6B0A">
        <w:rPr>
          <w:rFonts w:asciiTheme="minorHAnsi" w:hAnsiTheme="minorHAnsi"/>
          <w:sz w:val="22"/>
          <w:szCs w:val="22"/>
          <w:lang w:val="en-GB"/>
        </w:rPr>
        <w:t>have reported</w:t>
      </w:r>
      <w:r w:rsidRPr="000A6B0A">
        <w:rPr>
          <w:rFonts w:asciiTheme="minorHAnsi" w:hAnsiTheme="minorHAnsi"/>
          <w:sz w:val="22"/>
          <w:szCs w:val="22"/>
          <w:lang w:val="en-GB"/>
        </w:rPr>
        <w:t xml:space="preserve"> </w:t>
      </w:r>
      <w:r w:rsidR="00AE5EE9" w:rsidRPr="000A6B0A">
        <w:rPr>
          <w:rFonts w:asciiTheme="minorHAnsi" w:hAnsiTheme="minorHAnsi"/>
          <w:sz w:val="22"/>
          <w:szCs w:val="22"/>
          <w:lang w:val="en-GB"/>
        </w:rPr>
        <w:t xml:space="preserve">that they </w:t>
      </w:r>
      <w:r w:rsidRPr="000A6B0A">
        <w:rPr>
          <w:rFonts w:asciiTheme="minorHAnsi" w:hAnsiTheme="minorHAnsi"/>
          <w:sz w:val="22"/>
          <w:szCs w:val="22"/>
          <w:lang w:val="en-GB"/>
        </w:rPr>
        <w:t>organi</w:t>
      </w:r>
      <w:r w:rsidR="00AE5EE9" w:rsidRPr="000A6B0A">
        <w:rPr>
          <w:rFonts w:asciiTheme="minorHAnsi" w:hAnsiTheme="minorHAnsi"/>
          <w:sz w:val="22"/>
          <w:szCs w:val="22"/>
          <w:lang w:val="en-GB"/>
        </w:rPr>
        <w:t>se</w:t>
      </w:r>
      <w:r w:rsidR="00A202CC" w:rsidRPr="000A6B0A">
        <w:rPr>
          <w:rFonts w:asciiTheme="minorHAnsi" w:hAnsiTheme="minorHAnsi"/>
          <w:sz w:val="22"/>
          <w:szCs w:val="22"/>
          <w:lang w:val="en-GB"/>
        </w:rPr>
        <w:t xml:space="preserve"> public consultations</w:t>
      </w:r>
      <w:r w:rsidRPr="000A6B0A">
        <w:rPr>
          <w:rFonts w:asciiTheme="minorHAnsi" w:hAnsiTheme="minorHAnsi"/>
          <w:sz w:val="22"/>
          <w:szCs w:val="22"/>
          <w:lang w:val="en-GB"/>
        </w:rPr>
        <w:t xml:space="preserve">, prior to the issue of their decision on charges. This is the case of </w:t>
      </w:r>
      <w:r w:rsidR="00603222" w:rsidRPr="000A6B0A">
        <w:rPr>
          <w:rFonts w:asciiTheme="minorHAnsi" w:hAnsiTheme="minorHAnsi"/>
          <w:sz w:val="22"/>
          <w:szCs w:val="22"/>
          <w:lang w:val="en-GB"/>
        </w:rPr>
        <w:t>UK, France</w:t>
      </w:r>
      <w:r w:rsidR="00D130AD" w:rsidRPr="000A6B0A">
        <w:rPr>
          <w:rFonts w:asciiTheme="minorHAnsi" w:hAnsiTheme="minorHAnsi"/>
          <w:sz w:val="22"/>
          <w:szCs w:val="22"/>
          <w:lang w:val="en-GB"/>
        </w:rPr>
        <w:t>, Italy</w:t>
      </w:r>
      <w:r w:rsidR="00C34E0E">
        <w:rPr>
          <w:rFonts w:asciiTheme="minorHAnsi" w:hAnsiTheme="minorHAnsi"/>
          <w:sz w:val="22"/>
          <w:szCs w:val="22"/>
          <w:lang w:val="en-GB"/>
        </w:rPr>
        <w:t>, Portugal</w:t>
      </w:r>
      <w:r w:rsidR="00C72362" w:rsidRPr="000A6B0A">
        <w:rPr>
          <w:rFonts w:asciiTheme="minorHAnsi" w:hAnsiTheme="minorHAnsi"/>
          <w:sz w:val="22"/>
          <w:szCs w:val="22"/>
          <w:lang w:val="en-GB"/>
        </w:rPr>
        <w:t>, Slovakia</w:t>
      </w:r>
      <w:r w:rsidR="00495EEB">
        <w:rPr>
          <w:rFonts w:asciiTheme="minorHAnsi" w:hAnsiTheme="minorHAnsi"/>
          <w:sz w:val="22"/>
          <w:szCs w:val="22"/>
          <w:lang w:val="en-GB"/>
        </w:rPr>
        <w:t xml:space="preserve">, </w:t>
      </w:r>
      <w:r w:rsidRPr="000A6B0A">
        <w:rPr>
          <w:rFonts w:asciiTheme="minorHAnsi" w:hAnsiTheme="minorHAnsi"/>
          <w:sz w:val="22"/>
          <w:szCs w:val="22"/>
          <w:lang w:val="en-GB"/>
        </w:rPr>
        <w:t>Poland</w:t>
      </w:r>
      <w:r w:rsidR="00495EEB">
        <w:rPr>
          <w:rFonts w:asciiTheme="minorHAnsi" w:hAnsiTheme="minorHAnsi"/>
          <w:sz w:val="22"/>
          <w:szCs w:val="22"/>
          <w:lang w:val="en-GB"/>
        </w:rPr>
        <w:t xml:space="preserve"> and Germany</w:t>
      </w:r>
      <w:r w:rsidR="00603222" w:rsidRPr="000A6B0A">
        <w:rPr>
          <w:rFonts w:asciiTheme="minorHAnsi" w:hAnsiTheme="minorHAnsi"/>
          <w:sz w:val="22"/>
          <w:szCs w:val="22"/>
          <w:lang w:val="en-GB"/>
        </w:rPr>
        <w:t>, for example</w:t>
      </w:r>
      <w:r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Frequency of charging reviews</w:t>
      </w:r>
    </w:p>
    <w:p w:rsidR="000D2D45" w:rsidRPr="000A6B0A" w:rsidRDefault="000D2D45" w:rsidP="000D2D45">
      <w:pPr>
        <w:spacing w:line="276" w:lineRule="auto"/>
        <w:jc w:val="both"/>
        <w:rPr>
          <w:rFonts w:asciiTheme="minorHAnsi" w:hAnsiTheme="minorHAnsi"/>
          <w:b/>
          <w:sz w:val="22"/>
          <w:szCs w:val="22"/>
          <w:lang w:val="en-GB"/>
        </w:rPr>
      </w:pPr>
    </w:p>
    <w:p w:rsidR="00A03B89"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While many regulatory bodies review the charging principles on a regular basis, a few have no regular schedule for doing so. This is the case </w:t>
      </w:r>
      <w:r w:rsidR="00925BA0" w:rsidRPr="000A6B0A">
        <w:rPr>
          <w:rFonts w:asciiTheme="minorHAnsi" w:hAnsiTheme="minorHAnsi"/>
          <w:sz w:val="22"/>
          <w:szCs w:val="22"/>
          <w:lang w:val="en-GB"/>
        </w:rPr>
        <w:t xml:space="preserve">in </w:t>
      </w:r>
      <w:r w:rsidRPr="000A6B0A">
        <w:rPr>
          <w:rFonts w:asciiTheme="minorHAnsi" w:hAnsiTheme="minorHAnsi"/>
          <w:sz w:val="22"/>
          <w:szCs w:val="22"/>
          <w:lang w:val="en-GB"/>
        </w:rPr>
        <w:t>Denmark, Finland</w:t>
      </w:r>
      <w:r w:rsidR="00C63CDD">
        <w:rPr>
          <w:rFonts w:asciiTheme="minorHAnsi" w:hAnsiTheme="minorHAnsi"/>
          <w:sz w:val="22"/>
          <w:szCs w:val="22"/>
          <w:lang w:val="en-GB"/>
        </w:rPr>
        <w:t xml:space="preserve"> </w:t>
      </w:r>
      <w:r w:rsidRPr="000A6B0A">
        <w:rPr>
          <w:rFonts w:asciiTheme="minorHAnsi" w:hAnsiTheme="minorHAnsi"/>
          <w:sz w:val="22"/>
          <w:szCs w:val="22"/>
          <w:lang w:val="en-GB"/>
        </w:rPr>
        <w:t>or Sweden. In general</w:t>
      </w:r>
      <w:r w:rsidR="00A03B89" w:rsidRPr="000A6B0A">
        <w:rPr>
          <w:rFonts w:asciiTheme="minorHAnsi" w:hAnsiTheme="minorHAnsi"/>
          <w:sz w:val="22"/>
          <w:szCs w:val="22"/>
          <w:lang w:val="en-GB"/>
        </w:rPr>
        <w:t>, periodic reviewing is annual -</w:t>
      </w:r>
      <w:r w:rsidR="00F15C08" w:rsidRPr="000A6B0A">
        <w:rPr>
          <w:rFonts w:asciiTheme="minorHAnsi" w:hAnsiTheme="minorHAnsi"/>
          <w:sz w:val="22"/>
          <w:szCs w:val="22"/>
          <w:lang w:val="en-GB"/>
        </w:rPr>
        <w:t xml:space="preserve"> </w:t>
      </w:r>
      <w:r w:rsidRPr="000A6B0A">
        <w:rPr>
          <w:rFonts w:asciiTheme="minorHAnsi" w:hAnsiTheme="minorHAnsi"/>
          <w:sz w:val="22"/>
          <w:szCs w:val="22"/>
          <w:lang w:val="en-GB"/>
        </w:rPr>
        <w:t>for example Poland, Belgium</w:t>
      </w:r>
      <w:r w:rsidR="00C72362" w:rsidRPr="000A6B0A">
        <w:rPr>
          <w:rFonts w:asciiTheme="minorHAnsi" w:hAnsiTheme="minorHAnsi"/>
          <w:sz w:val="22"/>
          <w:szCs w:val="22"/>
          <w:lang w:val="en-GB"/>
        </w:rPr>
        <w:t>, Slovakia</w:t>
      </w:r>
      <w:r w:rsidR="00C34E0E">
        <w:rPr>
          <w:rFonts w:asciiTheme="minorHAnsi" w:hAnsiTheme="minorHAnsi"/>
          <w:sz w:val="22"/>
          <w:szCs w:val="22"/>
          <w:lang w:val="en-GB"/>
        </w:rPr>
        <w:t xml:space="preserve">, </w:t>
      </w:r>
      <w:r w:rsidRPr="000A6B0A">
        <w:rPr>
          <w:rFonts w:asciiTheme="minorHAnsi" w:hAnsiTheme="minorHAnsi"/>
          <w:sz w:val="22"/>
          <w:szCs w:val="22"/>
          <w:lang w:val="en-GB"/>
        </w:rPr>
        <w:t>France</w:t>
      </w:r>
      <w:r w:rsidR="00C34E0E">
        <w:rPr>
          <w:rFonts w:asciiTheme="minorHAnsi" w:hAnsiTheme="minorHAnsi"/>
          <w:sz w:val="22"/>
          <w:szCs w:val="22"/>
          <w:lang w:val="en-GB"/>
        </w:rPr>
        <w:t xml:space="preserve"> and Portugal (since the charging model is in the transitional period, there are several things that are being defined and might have an adjustment in the near future)</w:t>
      </w:r>
      <w:r w:rsidR="00F15C08"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 but it can be more or less frequent. </w:t>
      </w:r>
      <w:r w:rsidR="006C4648" w:rsidRPr="000A6B0A">
        <w:rPr>
          <w:rFonts w:asciiTheme="minorHAnsi" w:hAnsiTheme="minorHAnsi"/>
          <w:sz w:val="22"/>
          <w:szCs w:val="22"/>
          <w:lang w:val="en-GB"/>
        </w:rPr>
        <w:t>I</w:t>
      </w:r>
      <w:r w:rsidRPr="000A6B0A">
        <w:rPr>
          <w:rFonts w:asciiTheme="minorHAnsi" w:hAnsiTheme="minorHAnsi"/>
          <w:sz w:val="22"/>
          <w:szCs w:val="22"/>
          <w:lang w:val="en-GB"/>
        </w:rPr>
        <w:t>n Hungary</w:t>
      </w:r>
      <w:r w:rsidR="00C831A2" w:rsidRPr="000A6B0A">
        <w:rPr>
          <w:rFonts w:asciiTheme="minorHAnsi" w:hAnsiTheme="minorHAnsi"/>
          <w:sz w:val="22"/>
          <w:szCs w:val="22"/>
          <w:lang w:val="en-GB"/>
        </w:rPr>
        <w:t>, in Italy</w:t>
      </w:r>
      <w:r w:rsidR="00C54CEB">
        <w:rPr>
          <w:rFonts w:asciiTheme="minorHAnsi" w:hAnsiTheme="minorHAnsi"/>
          <w:sz w:val="22"/>
          <w:szCs w:val="22"/>
          <w:lang w:val="en-GB"/>
        </w:rPr>
        <w:t>, the Netherlands</w:t>
      </w:r>
      <w:r w:rsidRPr="000A6B0A">
        <w:rPr>
          <w:rFonts w:asciiTheme="minorHAnsi" w:hAnsiTheme="minorHAnsi"/>
          <w:sz w:val="22"/>
          <w:szCs w:val="22"/>
          <w:lang w:val="en-GB"/>
        </w:rPr>
        <w:t xml:space="preserve"> and in the UK</w:t>
      </w:r>
      <w:r w:rsidR="00A03B89" w:rsidRPr="000A6B0A">
        <w:rPr>
          <w:rFonts w:asciiTheme="minorHAnsi" w:hAnsiTheme="minorHAnsi"/>
          <w:sz w:val="22"/>
          <w:szCs w:val="22"/>
          <w:lang w:val="en-GB"/>
        </w:rPr>
        <w:t>,</w:t>
      </w:r>
      <w:r w:rsidRPr="000A6B0A">
        <w:rPr>
          <w:rFonts w:asciiTheme="minorHAnsi" w:hAnsiTheme="minorHAnsi"/>
          <w:sz w:val="22"/>
          <w:szCs w:val="22"/>
          <w:lang w:val="en-GB"/>
        </w:rPr>
        <w:t xml:space="preserve"> the regulatory period extends to five years</w:t>
      </w:r>
      <w:r w:rsidR="00420D3F" w:rsidRPr="000A6B0A">
        <w:rPr>
          <w:rFonts w:asciiTheme="minorHAnsi" w:hAnsiTheme="minorHAnsi"/>
          <w:sz w:val="22"/>
          <w:szCs w:val="22"/>
          <w:lang w:val="en-GB"/>
        </w:rPr>
        <w:t>. Charges</w:t>
      </w:r>
      <w:r w:rsidRPr="000A6B0A">
        <w:rPr>
          <w:rFonts w:asciiTheme="minorHAnsi" w:hAnsiTheme="minorHAnsi"/>
          <w:sz w:val="22"/>
          <w:szCs w:val="22"/>
          <w:lang w:val="en-GB"/>
        </w:rPr>
        <w:t xml:space="preserve"> are reviewed every month in Slovenia, though the charging model is only reviewed when subject to changes. In the case of Sweden, the frequency of reviewing is approximately four years but it can vary across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and </w:t>
      </w:r>
      <w:r w:rsidR="00F97C31">
        <w:rPr>
          <w:rFonts w:asciiTheme="minorHAnsi" w:hAnsiTheme="minorHAnsi"/>
          <w:sz w:val="22"/>
          <w:szCs w:val="22"/>
          <w:lang w:val="en-GB"/>
        </w:rPr>
        <w:t xml:space="preserve">subject to </w:t>
      </w:r>
      <w:r w:rsidRPr="000A6B0A">
        <w:rPr>
          <w:rFonts w:asciiTheme="minorHAnsi" w:hAnsiTheme="minorHAnsi"/>
          <w:sz w:val="22"/>
          <w:szCs w:val="22"/>
          <w:lang w:val="en-GB"/>
        </w:rPr>
        <w:t>yearly plans.</w:t>
      </w:r>
      <w:r w:rsidR="00420D3F" w:rsidRPr="000A6B0A">
        <w:rPr>
          <w:rFonts w:asciiTheme="minorHAnsi" w:hAnsiTheme="minorHAnsi"/>
          <w:sz w:val="22"/>
          <w:szCs w:val="22"/>
          <w:lang w:val="en-GB"/>
        </w:rPr>
        <w:t xml:space="preserve"> </w:t>
      </w: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Modifications within the regulatory period can also be subject to reviewing as </w:t>
      </w:r>
      <w:r w:rsidR="00C047DE">
        <w:rPr>
          <w:rFonts w:asciiTheme="minorHAnsi" w:hAnsiTheme="minorHAnsi"/>
          <w:sz w:val="22"/>
          <w:szCs w:val="22"/>
          <w:lang w:val="en-GB"/>
        </w:rPr>
        <w:t xml:space="preserve">for example </w:t>
      </w:r>
      <w:r w:rsidRPr="000A6B0A">
        <w:rPr>
          <w:rFonts w:asciiTheme="minorHAnsi" w:hAnsiTheme="minorHAnsi"/>
          <w:sz w:val="22"/>
          <w:szCs w:val="22"/>
          <w:lang w:val="en-GB"/>
        </w:rPr>
        <w:t>in Germany or Hungary.</w:t>
      </w:r>
    </w:p>
    <w:p w:rsidR="000D2D45" w:rsidRPr="000A6B0A" w:rsidRDefault="000D2D45" w:rsidP="000D2D45">
      <w:pPr>
        <w:spacing w:line="276" w:lineRule="auto"/>
        <w:jc w:val="both"/>
        <w:rPr>
          <w:rFonts w:asciiTheme="minorHAnsi" w:hAnsiTheme="minorHAnsi"/>
          <w:b/>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Time span of the reviewing process</w:t>
      </w:r>
    </w:p>
    <w:p w:rsidR="000D2D45" w:rsidRPr="000A6B0A" w:rsidRDefault="000D2D45" w:rsidP="000D2D45">
      <w:pPr>
        <w:spacing w:line="276" w:lineRule="auto"/>
        <w:jc w:val="both"/>
        <w:rPr>
          <w:rFonts w:asciiTheme="minorHAnsi" w:hAnsiTheme="minorHAnsi"/>
          <w:b/>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There is no common trend across IRG-Rail members regarding how long it takes to review or control charges. Regulators that perform annual reviews carry them out in a time span ranging from one month to a whole year. In France</w:t>
      </w:r>
      <w:r w:rsidR="00C047DE">
        <w:rPr>
          <w:rFonts w:asciiTheme="minorHAnsi" w:hAnsiTheme="minorHAnsi"/>
          <w:sz w:val="22"/>
          <w:szCs w:val="22"/>
          <w:lang w:val="en-GB"/>
        </w:rPr>
        <w:t>,</w:t>
      </w:r>
      <w:r w:rsidRPr="000A6B0A">
        <w:rPr>
          <w:rFonts w:asciiTheme="minorHAnsi" w:hAnsiTheme="minorHAnsi"/>
          <w:sz w:val="22"/>
          <w:szCs w:val="22"/>
          <w:lang w:val="en-GB"/>
        </w:rPr>
        <w:t xml:space="preserve"> for instance, the </w:t>
      </w:r>
      <w:r w:rsidR="00771B6E" w:rsidRPr="000A6B0A">
        <w:rPr>
          <w:rFonts w:asciiTheme="minorHAnsi" w:hAnsiTheme="minorHAnsi"/>
          <w:sz w:val="22"/>
          <w:szCs w:val="22"/>
          <w:lang w:val="en-GB"/>
        </w:rPr>
        <w:t xml:space="preserve">formal </w:t>
      </w:r>
      <w:r w:rsidRPr="000A6B0A">
        <w:rPr>
          <w:rFonts w:asciiTheme="minorHAnsi" w:hAnsiTheme="minorHAnsi"/>
          <w:sz w:val="22"/>
          <w:szCs w:val="22"/>
          <w:lang w:val="en-GB"/>
        </w:rPr>
        <w:t xml:space="preserve">review </w:t>
      </w:r>
      <w:r w:rsidR="00771B6E" w:rsidRPr="000A6B0A">
        <w:rPr>
          <w:rFonts w:asciiTheme="minorHAnsi" w:hAnsiTheme="minorHAnsi"/>
          <w:sz w:val="22"/>
          <w:szCs w:val="22"/>
          <w:lang w:val="en-GB"/>
        </w:rPr>
        <w:t xml:space="preserve">process </w:t>
      </w:r>
      <w:r w:rsidRPr="000A6B0A">
        <w:rPr>
          <w:rFonts w:asciiTheme="minorHAnsi" w:hAnsiTheme="minorHAnsi"/>
          <w:sz w:val="22"/>
          <w:szCs w:val="22"/>
          <w:lang w:val="en-GB"/>
        </w:rPr>
        <w:t xml:space="preserve">takes two </w:t>
      </w:r>
      <w:r w:rsidRPr="000A6B0A">
        <w:rPr>
          <w:rFonts w:asciiTheme="minorHAnsi" w:hAnsiTheme="minorHAnsi"/>
          <w:sz w:val="22"/>
          <w:szCs w:val="22"/>
          <w:lang w:val="en-GB"/>
        </w:rPr>
        <w:lastRenderedPageBreak/>
        <w:t>months. In Poland, the procedure for approval of unit rates o</w:t>
      </w:r>
      <w:r w:rsidR="00420D3F" w:rsidRPr="000A6B0A">
        <w:rPr>
          <w:rFonts w:asciiTheme="minorHAnsi" w:hAnsiTheme="minorHAnsi"/>
          <w:sz w:val="22"/>
          <w:szCs w:val="22"/>
          <w:lang w:val="en-GB"/>
        </w:rPr>
        <w:t>f charges should last one month</w:t>
      </w:r>
      <w:r w:rsidRPr="000A6B0A">
        <w:rPr>
          <w:rFonts w:asciiTheme="minorHAnsi" w:hAnsiTheme="minorHAnsi"/>
          <w:sz w:val="22"/>
          <w:szCs w:val="22"/>
          <w:lang w:val="en-GB"/>
        </w:rPr>
        <w:t xml:space="preserve"> </w:t>
      </w:r>
      <w:r w:rsidR="00420D3F" w:rsidRPr="000A6B0A">
        <w:rPr>
          <w:rFonts w:asciiTheme="minorHAnsi" w:hAnsiTheme="minorHAnsi"/>
          <w:sz w:val="22"/>
          <w:szCs w:val="22"/>
          <w:lang w:val="en-GB"/>
        </w:rPr>
        <w:t xml:space="preserve">and, </w:t>
      </w:r>
      <w:r w:rsidRPr="000A6B0A">
        <w:rPr>
          <w:rFonts w:asciiTheme="minorHAnsi" w:hAnsiTheme="minorHAnsi"/>
          <w:sz w:val="22"/>
          <w:szCs w:val="22"/>
          <w:lang w:val="en-GB"/>
        </w:rPr>
        <w:t>in the case of particularly complicated cases</w:t>
      </w:r>
      <w:r w:rsidR="00420D3F" w:rsidRPr="000A6B0A">
        <w:rPr>
          <w:rFonts w:asciiTheme="minorHAnsi" w:hAnsiTheme="minorHAnsi"/>
          <w:sz w:val="22"/>
          <w:szCs w:val="22"/>
          <w:lang w:val="en-GB"/>
        </w:rPr>
        <w:t>,</w:t>
      </w:r>
      <w:r w:rsidRPr="000A6B0A">
        <w:rPr>
          <w:rFonts w:asciiTheme="minorHAnsi" w:hAnsiTheme="minorHAnsi"/>
          <w:sz w:val="22"/>
          <w:szCs w:val="22"/>
          <w:lang w:val="en-GB"/>
        </w:rPr>
        <w:t xml:space="preserve"> </w:t>
      </w:r>
      <w:r w:rsidR="002174AA" w:rsidRPr="000A6B0A">
        <w:rPr>
          <w:rFonts w:asciiTheme="minorHAnsi" w:hAnsiTheme="minorHAnsi"/>
          <w:sz w:val="22"/>
          <w:szCs w:val="22"/>
          <w:lang w:val="en-GB"/>
        </w:rPr>
        <w:t>two</w:t>
      </w:r>
      <w:r w:rsidRPr="000A6B0A">
        <w:rPr>
          <w:rFonts w:asciiTheme="minorHAnsi" w:hAnsiTheme="minorHAnsi"/>
          <w:sz w:val="22"/>
          <w:szCs w:val="22"/>
          <w:lang w:val="en-GB"/>
        </w:rPr>
        <w:t xml:space="preserve"> months. As for countries in which the regulatory period exceeds one year, more time is needed to perform the charging review. This requires approximately </w:t>
      </w:r>
      <w:r w:rsidR="002174AA" w:rsidRPr="000A6B0A">
        <w:rPr>
          <w:rFonts w:asciiTheme="minorHAnsi" w:hAnsiTheme="minorHAnsi"/>
          <w:sz w:val="22"/>
          <w:szCs w:val="22"/>
          <w:lang w:val="en-GB"/>
        </w:rPr>
        <w:t>six</w:t>
      </w:r>
      <w:r w:rsidRPr="000A6B0A">
        <w:rPr>
          <w:rFonts w:asciiTheme="minorHAnsi" w:hAnsiTheme="minorHAnsi"/>
          <w:sz w:val="22"/>
          <w:szCs w:val="22"/>
          <w:lang w:val="en-GB"/>
        </w:rPr>
        <w:t xml:space="preserve"> months in Hungary and </w:t>
      </w:r>
      <w:r w:rsidR="00303783" w:rsidRPr="000A6B0A">
        <w:rPr>
          <w:rFonts w:asciiTheme="minorHAnsi" w:hAnsiTheme="minorHAnsi"/>
          <w:sz w:val="22"/>
          <w:szCs w:val="22"/>
          <w:lang w:val="en-GB"/>
        </w:rPr>
        <w:t xml:space="preserve">significantly longer in the </w:t>
      </w:r>
      <w:r w:rsidRPr="000A6B0A">
        <w:rPr>
          <w:rFonts w:asciiTheme="minorHAnsi" w:hAnsiTheme="minorHAnsi"/>
          <w:sz w:val="22"/>
          <w:szCs w:val="22"/>
          <w:lang w:val="en-GB"/>
        </w:rPr>
        <w:t>UK.</w:t>
      </w:r>
    </w:p>
    <w:p w:rsidR="000D2D45" w:rsidRPr="000A6B0A" w:rsidRDefault="000D2D45" w:rsidP="000D2D45">
      <w:pPr>
        <w:spacing w:line="276" w:lineRule="auto"/>
        <w:jc w:val="both"/>
        <w:rPr>
          <w:rFonts w:asciiTheme="minorHAnsi" w:hAnsiTheme="minorHAnsi"/>
          <w:sz w:val="22"/>
          <w:szCs w:val="22"/>
          <w:lang w:val="en-GB"/>
        </w:rPr>
      </w:pPr>
    </w:p>
    <w:p w:rsidR="00C54CEB" w:rsidRPr="000A6B0A" w:rsidRDefault="00420D3F" w:rsidP="00C54CEB">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Where</w:t>
      </w:r>
      <w:r w:rsidR="00771B6E" w:rsidRPr="000A6B0A">
        <w:rPr>
          <w:rFonts w:asciiTheme="minorHAnsi" w:hAnsiTheme="minorHAnsi"/>
          <w:sz w:val="22"/>
          <w:szCs w:val="22"/>
          <w:lang w:val="en-GB"/>
        </w:rPr>
        <w:t xml:space="preserve"> the statutory time span for </w:t>
      </w:r>
      <w:r w:rsidR="00771B6E" w:rsidRPr="000A6B0A">
        <w:rPr>
          <w:rFonts w:asciiTheme="minorHAnsi" w:hAnsiTheme="minorHAnsi"/>
          <w:i/>
          <w:sz w:val="22"/>
          <w:szCs w:val="22"/>
          <w:lang w:val="en-GB"/>
        </w:rPr>
        <w:t xml:space="preserve">ex </w:t>
      </w:r>
      <w:r w:rsidRPr="000A6B0A">
        <w:rPr>
          <w:rFonts w:asciiTheme="minorHAnsi" w:hAnsiTheme="minorHAnsi"/>
          <w:i/>
          <w:sz w:val="22"/>
          <w:szCs w:val="22"/>
          <w:lang w:val="en-GB"/>
        </w:rPr>
        <w:t>ante</w:t>
      </w:r>
      <w:r w:rsidRPr="000A6B0A">
        <w:rPr>
          <w:rFonts w:asciiTheme="minorHAnsi" w:hAnsiTheme="minorHAnsi"/>
          <w:sz w:val="22"/>
          <w:szCs w:val="22"/>
          <w:lang w:val="en-GB"/>
        </w:rPr>
        <w:t xml:space="preserve"> review may</w:t>
      </w:r>
      <w:r w:rsidR="00771B6E" w:rsidRPr="000A6B0A">
        <w:rPr>
          <w:rFonts w:asciiTheme="minorHAnsi" w:hAnsiTheme="minorHAnsi"/>
          <w:sz w:val="22"/>
          <w:szCs w:val="22"/>
          <w:lang w:val="en-GB"/>
        </w:rPr>
        <w:t xml:space="preserve"> be short</w:t>
      </w:r>
      <w:r w:rsidR="00F97C31">
        <w:rPr>
          <w:rFonts w:asciiTheme="minorHAnsi" w:hAnsiTheme="minorHAnsi"/>
          <w:sz w:val="22"/>
          <w:szCs w:val="22"/>
          <w:lang w:val="en-GB"/>
        </w:rPr>
        <w:t>,</w:t>
      </w:r>
      <w:r w:rsidR="00771B6E" w:rsidRPr="000A6B0A">
        <w:rPr>
          <w:rFonts w:asciiTheme="minorHAnsi" w:hAnsiTheme="minorHAnsi"/>
          <w:sz w:val="22"/>
          <w:szCs w:val="22"/>
          <w:lang w:val="en-GB"/>
        </w:rPr>
        <w:t xml:space="preserve"> in some cases for </w:t>
      </w:r>
      <w:r w:rsidR="00771B6E" w:rsidRPr="000A6B0A">
        <w:rPr>
          <w:rFonts w:asciiTheme="minorHAnsi" w:hAnsiTheme="minorHAnsi"/>
          <w:i/>
          <w:sz w:val="22"/>
          <w:szCs w:val="22"/>
          <w:lang w:val="en-GB"/>
        </w:rPr>
        <w:t xml:space="preserve">ex </w:t>
      </w:r>
      <w:r w:rsidRPr="000A6B0A">
        <w:rPr>
          <w:rFonts w:asciiTheme="minorHAnsi" w:hAnsiTheme="minorHAnsi"/>
          <w:i/>
          <w:sz w:val="22"/>
          <w:szCs w:val="22"/>
          <w:lang w:val="en-GB"/>
        </w:rPr>
        <w:t>post</w:t>
      </w:r>
      <w:r w:rsidRPr="000A6B0A">
        <w:rPr>
          <w:rFonts w:asciiTheme="minorHAnsi" w:hAnsiTheme="minorHAnsi"/>
          <w:sz w:val="22"/>
          <w:szCs w:val="22"/>
          <w:lang w:val="en-GB"/>
        </w:rPr>
        <w:t xml:space="preserve"> controls, timescales, if any, may be less limited. For instance, the German regulator has </w:t>
      </w:r>
      <w:r w:rsidR="00076DF1" w:rsidRPr="000A6B0A">
        <w:rPr>
          <w:rFonts w:asciiTheme="minorHAnsi" w:hAnsiTheme="minorHAnsi"/>
          <w:sz w:val="22"/>
          <w:szCs w:val="22"/>
          <w:lang w:val="en-GB"/>
        </w:rPr>
        <w:t xml:space="preserve">two </w:t>
      </w:r>
      <w:r w:rsidRPr="000A6B0A">
        <w:rPr>
          <w:rFonts w:asciiTheme="minorHAnsi" w:hAnsiTheme="minorHAnsi"/>
          <w:sz w:val="22"/>
          <w:szCs w:val="22"/>
          <w:lang w:val="en-GB"/>
        </w:rPr>
        <w:t>month</w:t>
      </w:r>
      <w:r w:rsidR="00B342D2" w:rsidRPr="000A6B0A">
        <w:rPr>
          <w:rFonts w:asciiTheme="minorHAnsi" w:hAnsiTheme="minorHAnsi"/>
          <w:sz w:val="22"/>
          <w:szCs w:val="22"/>
          <w:lang w:val="en-GB"/>
        </w:rPr>
        <w:t>s</w:t>
      </w:r>
      <w:r w:rsidRPr="000A6B0A">
        <w:rPr>
          <w:rFonts w:asciiTheme="minorHAnsi" w:hAnsiTheme="minorHAnsi"/>
          <w:sz w:val="22"/>
          <w:szCs w:val="22"/>
          <w:lang w:val="en-GB"/>
        </w:rPr>
        <w:t xml:space="preserve"> for</w:t>
      </w:r>
      <w:r w:rsidRPr="000A6B0A">
        <w:rPr>
          <w:rFonts w:asciiTheme="minorHAnsi" w:hAnsiTheme="minorHAnsi"/>
          <w:i/>
          <w:sz w:val="22"/>
          <w:szCs w:val="22"/>
          <w:lang w:val="en-GB"/>
        </w:rPr>
        <w:t xml:space="preserve"> ex</w:t>
      </w:r>
      <w:r w:rsidR="00771B6E" w:rsidRPr="000A6B0A">
        <w:rPr>
          <w:rFonts w:asciiTheme="minorHAnsi" w:hAnsiTheme="minorHAnsi"/>
          <w:i/>
          <w:sz w:val="22"/>
          <w:szCs w:val="22"/>
          <w:lang w:val="en-GB"/>
        </w:rPr>
        <w:t xml:space="preserve"> </w:t>
      </w:r>
      <w:r w:rsidRPr="000A6B0A">
        <w:rPr>
          <w:rFonts w:asciiTheme="minorHAnsi" w:hAnsiTheme="minorHAnsi"/>
          <w:i/>
          <w:sz w:val="22"/>
          <w:szCs w:val="22"/>
          <w:lang w:val="en-GB"/>
        </w:rPr>
        <w:t>ante</w:t>
      </w:r>
      <w:r w:rsidRPr="000A6B0A">
        <w:rPr>
          <w:rFonts w:asciiTheme="minorHAnsi" w:hAnsiTheme="minorHAnsi"/>
          <w:sz w:val="22"/>
          <w:szCs w:val="22"/>
          <w:lang w:val="en-GB"/>
        </w:rPr>
        <w:t xml:space="preserve"> </w:t>
      </w:r>
      <w:r w:rsidR="00A03B89" w:rsidRPr="000A6B0A">
        <w:rPr>
          <w:rFonts w:asciiTheme="minorHAnsi" w:hAnsiTheme="minorHAnsi"/>
          <w:sz w:val="22"/>
          <w:szCs w:val="22"/>
          <w:lang w:val="en-GB"/>
        </w:rPr>
        <w:t xml:space="preserve">reviews </w:t>
      </w:r>
      <w:r w:rsidRPr="000A6B0A">
        <w:rPr>
          <w:rFonts w:asciiTheme="minorHAnsi" w:hAnsiTheme="minorHAnsi"/>
          <w:sz w:val="22"/>
          <w:szCs w:val="22"/>
          <w:lang w:val="en-GB"/>
        </w:rPr>
        <w:t xml:space="preserve">but </w:t>
      </w:r>
      <w:r w:rsidR="00495EEB">
        <w:rPr>
          <w:rFonts w:asciiTheme="minorHAnsi" w:hAnsiTheme="minorHAnsi"/>
          <w:sz w:val="22"/>
          <w:szCs w:val="22"/>
          <w:lang w:val="en-GB"/>
        </w:rPr>
        <w:t xml:space="preserve">in general </w:t>
      </w:r>
      <w:r w:rsidRPr="000A6B0A">
        <w:rPr>
          <w:rFonts w:asciiTheme="minorHAnsi" w:hAnsiTheme="minorHAnsi"/>
          <w:sz w:val="22"/>
          <w:szCs w:val="22"/>
          <w:lang w:val="en-GB"/>
        </w:rPr>
        <w:t xml:space="preserve">no time limit for </w:t>
      </w:r>
      <w:r w:rsidRPr="000A6B0A">
        <w:rPr>
          <w:rFonts w:asciiTheme="minorHAnsi" w:hAnsiTheme="minorHAnsi"/>
          <w:i/>
          <w:sz w:val="22"/>
          <w:szCs w:val="22"/>
          <w:lang w:val="en-GB"/>
        </w:rPr>
        <w:t>ex</w:t>
      </w:r>
      <w:r w:rsidR="00771B6E" w:rsidRPr="000A6B0A">
        <w:rPr>
          <w:rFonts w:asciiTheme="minorHAnsi" w:hAnsiTheme="minorHAnsi"/>
          <w:i/>
          <w:sz w:val="22"/>
          <w:szCs w:val="22"/>
          <w:lang w:val="en-GB"/>
        </w:rPr>
        <w:t xml:space="preserve"> </w:t>
      </w:r>
      <w:r w:rsidRPr="000A6B0A">
        <w:rPr>
          <w:rFonts w:asciiTheme="minorHAnsi" w:hAnsiTheme="minorHAnsi"/>
          <w:i/>
          <w:sz w:val="22"/>
          <w:szCs w:val="22"/>
          <w:lang w:val="en-GB"/>
        </w:rPr>
        <w:t>post</w:t>
      </w:r>
      <w:r w:rsidRPr="000A6B0A">
        <w:rPr>
          <w:rFonts w:asciiTheme="minorHAnsi" w:hAnsiTheme="minorHAnsi"/>
          <w:sz w:val="22"/>
          <w:szCs w:val="22"/>
          <w:lang w:val="en-GB"/>
        </w:rPr>
        <w:t xml:space="preserve"> review</w:t>
      </w:r>
      <w:r w:rsidR="00A03B89" w:rsidRPr="000A6B0A">
        <w:rPr>
          <w:rFonts w:asciiTheme="minorHAnsi" w:hAnsiTheme="minorHAnsi"/>
          <w:sz w:val="22"/>
          <w:szCs w:val="22"/>
          <w:lang w:val="en-GB"/>
        </w:rPr>
        <w:t>s</w:t>
      </w:r>
      <w:r w:rsidRPr="000A6B0A">
        <w:rPr>
          <w:rFonts w:asciiTheme="minorHAnsi" w:hAnsiTheme="minorHAnsi"/>
          <w:sz w:val="22"/>
          <w:szCs w:val="22"/>
          <w:lang w:val="en-GB"/>
        </w:rPr>
        <w:t xml:space="preserve">. </w:t>
      </w:r>
      <w:r w:rsidR="00C72362" w:rsidRPr="000A6B0A">
        <w:rPr>
          <w:rFonts w:asciiTheme="minorHAnsi" w:hAnsiTheme="minorHAnsi"/>
          <w:sz w:val="22"/>
          <w:szCs w:val="22"/>
          <w:lang w:val="en-GB"/>
        </w:rPr>
        <w:t xml:space="preserve">The Slovakian regulator also does not have a legal deadline for </w:t>
      </w:r>
      <w:r w:rsidR="00C72362" w:rsidRPr="000A6B0A">
        <w:rPr>
          <w:rFonts w:asciiTheme="minorHAnsi" w:hAnsiTheme="minorHAnsi"/>
          <w:i/>
          <w:sz w:val="22"/>
          <w:szCs w:val="22"/>
          <w:lang w:val="en-GB"/>
        </w:rPr>
        <w:t>ex post</w:t>
      </w:r>
      <w:r w:rsidR="00C72362" w:rsidRPr="000A6B0A">
        <w:rPr>
          <w:rFonts w:asciiTheme="minorHAnsi" w:hAnsiTheme="minorHAnsi"/>
          <w:sz w:val="22"/>
          <w:szCs w:val="22"/>
          <w:lang w:val="en-GB"/>
        </w:rPr>
        <w:t xml:space="preserve"> reviews, </w:t>
      </w:r>
      <w:r w:rsidR="00963827" w:rsidRPr="000A6B0A">
        <w:rPr>
          <w:rFonts w:asciiTheme="minorHAnsi" w:hAnsiTheme="minorHAnsi"/>
          <w:sz w:val="22"/>
          <w:szCs w:val="22"/>
          <w:lang w:val="en-GB"/>
        </w:rPr>
        <w:t>while</w:t>
      </w:r>
      <w:r w:rsidR="00C72362" w:rsidRPr="000A6B0A">
        <w:rPr>
          <w:rFonts w:asciiTheme="minorHAnsi" w:hAnsiTheme="minorHAnsi"/>
          <w:sz w:val="22"/>
          <w:szCs w:val="22"/>
          <w:lang w:val="en-GB"/>
        </w:rPr>
        <w:t xml:space="preserve"> </w:t>
      </w:r>
      <w:r w:rsidR="00C72362" w:rsidRPr="000A6B0A">
        <w:rPr>
          <w:rFonts w:asciiTheme="minorHAnsi" w:hAnsiTheme="minorHAnsi"/>
          <w:i/>
          <w:sz w:val="22"/>
          <w:szCs w:val="22"/>
          <w:lang w:val="en-GB"/>
        </w:rPr>
        <w:t>ex ante</w:t>
      </w:r>
      <w:r w:rsidR="00C72362" w:rsidRPr="000A6B0A">
        <w:rPr>
          <w:rFonts w:asciiTheme="minorHAnsi" w:hAnsiTheme="minorHAnsi"/>
          <w:sz w:val="22"/>
          <w:szCs w:val="22"/>
          <w:lang w:val="en-GB"/>
        </w:rPr>
        <w:t xml:space="preserve"> reviews are limited by law to three months. </w:t>
      </w:r>
      <w:r w:rsidRPr="000A6B0A">
        <w:rPr>
          <w:rFonts w:asciiTheme="minorHAnsi" w:hAnsiTheme="minorHAnsi"/>
          <w:sz w:val="22"/>
          <w:szCs w:val="22"/>
          <w:lang w:val="en-GB"/>
        </w:rPr>
        <w:t xml:space="preserve">In Slovenia, </w:t>
      </w:r>
      <w:r w:rsidR="00255C4D" w:rsidRPr="000A6B0A">
        <w:rPr>
          <w:rFonts w:asciiTheme="minorHAnsi" w:hAnsiTheme="minorHAnsi"/>
          <w:sz w:val="22"/>
          <w:szCs w:val="22"/>
          <w:lang w:val="en-GB"/>
        </w:rPr>
        <w:t xml:space="preserve">although </w:t>
      </w:r>
      <w:r w:rsidRPr="000A6B0A">
        <w:rPr>
          <w:rFonts w:asciiTheme="minorHAnsi" w:hAnsiTheme="minorHAnsi"/>
          <w:sz w:val="22"/>
          <w:szCs w:val="22"/>
          <w:lang w:val="en-GB"/>
        </w:rPr>
        <w:t>the regulatory body examines the fees on a monthly basis</w:t>
      </w:r>
      <w:r w:rsidR="00255C4D" w:rsidRPr="000A6B0A">
        <w:rPr>
          <w:rFonts w:asciiTheme="minorHAnsi" w:hAnsiTheme="minorHAnsi"/>
          <w:sz w:val="22"/>
          <w:szCs w:val="22"/>
          <w:lang w:val="en-GB"/>
        </w:rPr>
        <w:t>,</w:t>
      </w:r>
      <w:r w:rsidRPr="000A6B0A">
        <w:rPr>
          <w:rFonts w:asciiTheme="minorHAnsi" w:hAnsiTheme="minorHAnsi"/>
          <w:sz w:val="22"/>
          <w:szCs w:val="22"/>
          <w:lang w:val="en-GB"/>
        </w:rPr>
        <w:t xml:space="preserve"> in the case of an appeal, its decision</w:t>
      </w:r>
      <w:r w:rsidR="00F97C31">
        <w:rPr>
          <w:rFonts w:asciiTheme="minorHAnsi" w:hAnsiTheme="minorHAnsi"/>
          <w:sz w:val="22"/>
          <w:szCs w:val="22"/>
          <w:lang w:val="en-GB"/>
        </w:rPr>
        <w:t xml:space="preserve"> must be made</w:t>
      </w:r>
      <w:r w:rsidRPr="000A6B0A">
        <w:rPr>
          <w:rFonts w:asciiTheme="minorHAnsi" w:hAnsiTheme="minorHAnsi"/>
          <w:sz w:val="22"/>
          <w:szCs w:val="22"/>
          <w:lang w:val="en-GB"/>
        </w:rPr>
        <w:t xml:space="preserve"> within two months. </w:t>
      </w:r>
      <w:r w:rsidR="00C54CEB">
        <w:rPr>
          <w:rFonts w:asciiTheme="minorHAnsi" w:hAnsiTheme="minorHAnsi"/>
          <w:sz w:val="22"/>
          <w:szCs w:val="22"/>
          <w:lang w:val="en-GB"/>
        </w:rPr>
        <w:t xml:space="preserve"> </w:t>
      </w:r>
      <w:r w:rsidR="00C54CEB" w:rsidRPr="000A6B0A">
        <w:rPr>
          <w:rFonts w:asciiTheme="minorHAnsi" w:hAnsiTheme="minorHAnsi"/>
          <w:sz w:val="22"/>
          <w:szCs w:val="22"/>
          <w:lang w:val="en-GB"/>
        </w:rPr>
        <w:t>In the Netherland</w:t>
      </w:r>
      <w:r w:rsidR="00C54CEB">
        <w:rPr>
          <w:rFonts w:asciiTheme="minorHAnsi" w:hAnsiTheme="minorHAnsi"/>
          <w:sz w:val="22"/>
          <w:szCs w:val="22"/>
          <w:lang w:val="en-GB"/>
        </w:rPr>
        <w:t xml:space="preserve">s there is a statute of limitations of </w:t>
      </w:r>
      <w:r w:rsidR="00C54CEB" w:rsidRPr="000A6B0A">
        <w:rPr>
          <w:rFonts w:asciiTheme="minorHAnsi" w:hAnsiTheme="minorHAnsi"/>
          <w:sz w:val="22"/>
          <w:szCs w:val="22"/>
          <w:lang w:val="en-GB"/>
        </w:rPr>
        <w:t xml:space="preserve">five years for </w:t>
      </w:r>
      <w:r w:rsidR="00C54CEB" w:rsidRPr="000A6B0A">
        <w:rPr>
          <w:rFonts w:asciiTheme="minorHAnsi" w:hAnsiTheme="minorHAnsi"/>
          <w:i/>
          <w:sz w:val="22"/>
          <w:szCs w:val="22"/>
          <w:lang w:val="en-GB"/>
        </w:rPr>
        <w:t>ex officio</w:t>
      </w:r>
      <w:r w:rsidR="00C54CEB" w:rsidRPr="000A6B0A">
        <w:rPr>
          <w:rFonts w:asciiTheme="minorHAnsi" w:hAnsiTheme="minorHAnsi"/>
          <w:sz w:val="22"/>
          <w:szCs w:val="22"/>
          <w:lang w:val="en-GB"/>
        </w:rPr>
        <w:t xml:space="preserve"> reviews.</w:t>
      </w:r>
    </w:p>
    <w:p w:rsidR="00C34E0E" w:rsidRDefault="00C34E0E" w:rsidP="000D2D45">
      <w:pPr>
        <w:spacing w:line="276" w:lineRule="auto"/>
        <w:jc w:val="both"/>
        <w:rPr>
          <w:rFonts w:asciiTheme="minorHAnsi" w:hAnsiTheme="minorHAnsi"/>
          <w:sz w:val="22"/>
          <w:szCs w:val="22"/>
          <w:lang w:val="en-GB"/>
        </w:rPr>
      </w:pPr>
    </w:p>
    <w:p w:rsidR="00C34E0E" w:rsidRPr="000A6B0A" w:rsidRDefault="00C34E0E" w:rsidP="00C34E0E">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In Portugal, Decree-law 217/2015 does not specify whether the regulatory control on charges (both control of charging principles and control of the level of charges) is to be conducted </w:t>
      </w:r>
      <w:r>
        <w:rPr>
          <w:rFonts w:asciiTheme="minorHAnsi" w:hAnsiTheme="minorHAnsi"/>
          <w:i/>
          <w:sz w:val="22"/>
          <w:szCs w:val="22"/>
          <w:lang w:val="en-GB"/>
        </w:rPr>
        <w:t>ex ante</w:t>
      </w:r>
      <w:r>
        <w:rPr>
          <w:rFonts w:asciiTheme="minorHAnsi" w:hAnsiTheme="minorHAnsi"/>
          <w:sz w:val="22"/>
          <w:szCs w:val="22"/>
          <w:lang w:val="en-GB"/>
        </w:rPr>
        <w:t xml:space="preserve"> or </w:t>
      </w:r>
      <w:r>
        <w:rPr>
          <w:rFonts w:asciiTheme="minorHAnsi" w:hAnsiTheme="minorHAnsi"/>
          <w:i/>
          <w:sz w:val="22"/>
          <w:szCs w:val="22"/>
          <w:lang w:val="en-GB"/>
        </w:rPr>
        <w:t>ex post</w:t>
      </w:r>
      <w:r>
        <w:rPr>
          <w:rFonts w:asciiTheme="minorHAnsi" w:hAnsiTheme="minorHAnsi"/>
          <w:sz w:val="22"/>
          <w:szCs w:val="22"/>
          <w:lang w:val="en-GB"/>
        </w:rPr>
        <w:t xml:space="preserve"> (nor AMT´s bylaws). In practice, AMT´s assessment on charges is triggered by the submission of the network statement and of the reasoning behind the charges by the IM. This normally occurs in November/December of each year, just before the publication of the networks statement takes place, which means that AMT´s intervention occurs already after the publication of the network statement. Please note additionally that AMT acts as the appeal body for matters concerning the charging scheme, the level or structure of infrastructure charges and the charging for rail related services, among other (in line with article 56 of Directive 2012/34/EU) and consequently may intervene on an ex post basis. The implementation of Regulation (EU) 2015/909 will most likely require changes in the charging system of the IM. The charging system currently in use by the IM has been developed under Regulation IMTT 630/2011, issued by the former regulatory body pursuant to the former legal framework and is not completely in line with Directive 2012/34/EU and the cost methodologies introduced by Regulation 2015/909. The Portuguese system is in a transitional period. IM is now reviewing its charging system and the regulator is also defining the new way of functioning. Given this, it is not yet decided the frequency of tariff approval (if it is year on year, every five years, and so on).</w:t>
      </w:r>
    </w:p>
    <w:p w:rsidR="003712A4" w:rsidRPr="000A6B0A" w:rsidRDefault="003712A4"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Publication of the review</w:t>
      </w:r>
    </w:p>
    <w:p w:rsidR="000D2D45" w:rsidRPr="000A6B0A" w:rsidRDefault="000D2D45" w:rsidP="000D2D45">
      <w:pPr>
        <w:spacing w:line="276" w:lineRule="auto"/>
        <w:jc w:val="both"/>
        <w:rPr>
          <w:rFonts w:asciiTheme="minorHAnsi" w:hAnsiTheme="minorHAnsi"/>
          <w:b/>
          <w:sz w:val="22"/>
          <w:szCs w:val="22"/>
          <w:lang w:val="en-GB"/>
        </w:rPr>
      </w:pPr>
    </w:p>
    <w:p w:rsidR="00420D3F" w:rsidRPr="000A6B0A" w:rsidRDefault="00420D3F" w:rsidP="00420D3F">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Not all IRG-Rail members publish the result of their charging reviews. Some members systematically publish the review and some never have so far but intend to as </w:t>
      </w:r>
      <w:r w:rsidR="00C047DE">
        <w:rPr>
          <w:rFonts w:asciiTheme="minorHAnsi" w:hAnsiTheme="minorHAnsi"/>
          <w:sz w:val="22"/>
          <w:szCs w:val="22"/>
          <w:lang w:val="en-GB"/>
        </w:rPr>
        <w:t xml:space="preserve">it </w:t>
      </w:r>
      <w:r w:rsidRPr="000A6B0A">
        <w:rPr>
          <w:rFonts w:asciiTheme="minorHAnsi" w:hAnsiTheme="minorHAnsi"/>
          <w:sz w:val="22"/>
          <w:szCs w:val="22"/>
          <w:lang w:val="en-GB"/>
        </w:rPr>
        <w:t xml:space="preserve">is the case for the Swedish regulator. The German regulatory body </w:t>
      </w:r>
      <w:r w:rsidR="00495EEB">
        <w:rPr>
          <w:rFonts w:asciiTheme="minorHAnsi" w:hAnsiTheme="minorHAnsi"/>
          <w:sz w:val="22"/>
          <w:szCs w:val="22"/>
          <w:lang w:val="en-GB"/>
        </w:rPr>
        <w:t xml:space="preserve">publishes the decisions of the ruling chamber. Further, it </w:t>
      </w:r>
      <w:r w:rsidRPr="000A6B0A">
        <w:rPr>
          <w:rFonts w:asciiTheme="minorHAnsi" w:hAnsiTheme="minorHAnsi"/>
          <w:sz w:val="22"/>
          <w:szCs w:val="22"/>
          <w:lang w:val="en-GB"/>
        </w:rPr>
        <w:t>only has a legal obligation to publish an annual report and a</w:t>
      </w:r>
      <w:r w:rsidR="00C047DE">
        <w:rPr>
          <w:rFonts w:asciiTheme="minorHAnsi" w:hAnsiTheme="minorHAnsi"/>
          <w:sz w:val="22"/>
          <w:szCs w:val="22"/>
          <w:lang w:val="en-GB"/>
        </w:rPr>
        <w:t xml:space="preserve"> report on its</w:t>
      </w:r>
      <w:r w:rsidRPr="000A6B0A">
        <w:rPr>
          <w:rFonts w:asciiTheme="minorHAnsi" w:hAnsiTheme="minorHAnsi"/>
          <w:sz w:val="22"/>
          <w:szCs w:val="22"/>
          <w:lang w:val="en-GB"/>
        </w:rPr>
        <w:t xml:space="preserve"> activities</w:t>
      </w:r>
      <w:r w:rsidR="00855283" w:rsidRPr="000A6B0A">
        <w:rPr>
          <w:rFonts w:asciiTheme="minorHAnsi" w:hAnsiTheme="minorHAnsi"/>
          <w:sz w:val="22"/>
          <w:szCs w:val="22"/>
          <w:lang w:val="en-GB"/>
        </w:rPr>
        <w:t xml:space="preserve"> every two years</w:t>
      </w:r>
      <w:r w:rsidRPr="000A6B0A">
        <w:rPr>
          <w:rFonts w:asciiTheme="minorHAnsi" w:hAnsiTheme="minorHAnsi"/>
          <w:sz w:val="22"/>
          <w:szCs w:val="22"/>
          <w:lang w:val="en-GB"/>
        </w:rPr>
        <w:t>; it</w:t>
      </w:r>
      <w:r w:rsidR="00495EEB">
        <w:rPr>
          <w:rFonts w:asciiTheme="minorHAnsi" w:hAnsiTheme="minorHAnsi"/>
          <w:sz w:val="22"/>
          <w:szCs w:val="22"/>
          <w:lang w:val="en-GB"/>
        </w:rPr>
        <w:t xml:space="preserve"> also</w:t>
      </w:r>
      <w:r w:rsidRPr="000A6B0A">
        <w:rPr>
          <w:rFonts w:asciiTheme="minorHAnsi" w:hAnsiTheme="minorHAnsi"/>
          <w:sz w:val="22"/>
          <w:szCs w:val="22"/>
          <w:lang w:val="en-GB"/>
        </w:rPr>
        <w:t xml:space="preserve"> issues press releases and publishes </w:t>
      </w:r>
      <w:r w:rsidR="00B342D2" w:rsidRPr="000A6B0A">
        <w:rPr>
          <w:rFonts w:asciiTheme="minorHAnsi" w:hAnsiTheme="minorHAnsi"/>
          <w:sz w:val="22"/>
          <w:szCs w:val="22"/>
          <w:lang w:val="en-GB"/>
        </w:rPr>
        <w:t xml:space="preserve">all </w:t>
      </w:r>
      <w:r w:rsidRPr="000A6B0A">
        <w:rPr>
          <w:rFonts w:asciiTheme="minorHAnsi" w:hAnsiTheme="minorHAnsi"/>
          <w:sz w:val="22"/>
          <w:szCs w:val="22"/>
          <w:lang w:val="en-GB"/>
        </w:rPr>
        <w:t xml:space="preserve">decisions. In Poland, all decisions on charges for access and use of rail infrastructure are published as required under Polish law where decisions of public administrations (such as the Office of Rail Transport) are public information. </w:t>
      </w:r>
      <w:r w:rsidR="004D3B5C" w:rsidRPr="000A6B0A">
        <w:rPr>
          <w:rFonts w:asciiTheme="minorHAnsi" w:hAnsiTheme="minorHAnsi"/>
          <w:sz w:val="22"/>
          <w:szCs w:val="22"/>
          <w:lang w:val="en-GB"/>
        </w:rPr>
        <w:t>The Spanish regulatory body has a legal obligation to publish the charging review as well as an annual activities</w:t>
      </w:r>
      <w:r w:rsidR="00F97C31">
        <w:rPr>
          <w:rFonts w:asciiTheme="minorHAnsi" w:hAnsiTheme="minorHAnsi"/>
          <w:sz w:val="22"/>
          <w:szCs w:val="22"/>
          <w:lang w:val="en-GB"/>
        </w:rPr>
        <w:t>’</w:t>
      </w:r>
      <w:r w:rsidR="004D3B5C" w:rsidRPr="000A6B0A">
        <w:rPr>
          <w:rFonts w:asciiTheme="minorHAnsi" w:hAnsiTheme="minorHAnsi"/>
          <w:sz w:val="22"/>
          <w:szCs w:val="22"/>
          <w:lang w:val="en-GB"/>
        </w:rPr>
        <w:t xml:space="preserve"> report</w:t>
      </w:r>
      <w:r w:rsidR="00FF7B6C">
        <w:rPr>
          <w:rFonts w:asciiTheme="minorHAnsi" w:hAnsiTheme="minorHAnsi"/>
          <w:sz w:val="22"/>
          <w:szCs w:val="22"/>
          <w:lang w:val="en-GB"/>
        </w:rPr>
        <w:t xml:space="preserve">. The Romanian regulatory body is legally required to publish an annual activities report, issue press releases, publish studies about the railway sector </w:t>
      </w:r>
      <w:r w:rsidR="00490DD2">
        <w:rPr>
          <w:rFonts w:asciiTheme="minorHAnsi" w:hAnsiTheme="minorHAnsi"/>
          <w:sz w:val="22"/>
          <w:szCs w:val="22"/>
          <w:lang w:val="en-GB"/>
        </w:rPr>
        <w:t>as well as</w:t>
      </w:r>
      <w:r w:rsidR="00FF7B6C">
        <w:rPr>
          <w:rFonts w:asciiTheme="minorHAnsi" w:hAnsiTheme="minorHAnsi"/>
          <w:sz w:val="22"/>
          <w:szCs w:val="22"/>
          <w:lang w:val="en-GB"/>
        </w:rPr>
        <w:t xml:space="preserve"> all issued decisions</w:t>
      </w:r>
      <w:r w:rsidR="00C047DE">
        <w:rPr>
          <w:rFonts w:asciiTheme="minorHAnsi" w:hAnsiTheme="minorHAnsi"/>
          <w:sz w:val="22"/>
          <w:szCs w:val="22"/>
          <w:lang w:val="en-GB"/>
        </w:rPr>
        <w:t>, as</w:t>
      </w:r>
      <w:r w:rsidR="00FF7B6C">
        <w:rPr>
          <w:rFonts w:asciiTheme="minorHAnsi" w:hAnsiTheme="minorHAnsi"/>
          <w:sz w:val="22"/>
          <w:szCs w:val="22"/>
          <w:lang w:val="en-GB"/>
        </w:rPr>
        <w:t xml:space="preserve"> </w:t>
      </w:r>
      <w:r w:rsidR="00C047DE">
        <w:rPr>
          <w:rFonts w:asciiTheme="minorHAnsi" w:hAnsiTheme="minorHAnsi"/>
          <w:sz w:val="22"/>
          <w:szCs w:val="22"/>
          <w:lang w:val="en-GB"/>
        </w:rPr>
        <w:t>e</w:t>
      </w:r>
      <w:r w:rsidRPr="000A6B0A">
        <w:rPr>
          <w:rFonts w:asciiTheme="minorHAnsi" w:hAnsiTheme="minorHAnsi"/>
          <w:sz w:val="22"/>
          <w:szCs w:val="22"/>
          <w:lang w:val="en-GB"/>
        </w:rPr>
        <w:t xml:space="preserve">very citizen should have access to the text of decision. Other members only publish </w:t>
      </w:r>
      <w:r w:rsidRPr="000A6B0A">
        <w:rPr>
          <w:rFonts w:asciiTheme="minorHAnsi" w:hAnsiTheme="minorHAnsi"/>
          <w:sz w:val="22"/>
          <w:szCs w:val="22"/>
          <w:lang w:val="en-GB"/>
        </w:rPr>
        <w:lastRenderedPageBreak/>
        <w:t>reviews</w:t>
      </w:r>
      <w:r w:rsidR="00771B6E" w:rsidRPr="000A6B0A">
        <w:rPr>
          <w:rFonts w:asciiTheme="minorHAnsi" w:hAnsiTheme="minorHAnsi"/>
          <w:sz w:val="22"/>
          <w:szCs w:val="22"/>
          <w:lang w:val="en-GB"/>
        </w:rPr>
        <w:t xml:space="preserve"> based on complaints or</w:t>
      </w:r>
      <w:r w:rsidR="00771B6E" w:rsidRPr="000A6B0A">
        <w:rPr>
          <w:rFonts w:asciiTheme="minorHAnsi" w:hAnsiTheme="minorHAnsi"/>
          <w:i/>
          <w:sz w:val="22"/>
          <w:szCs w:val="22"/>
          <w:lang w:val="en-GB"/>
        </w:rPr>
        <w:t xml:space="preserve"> ex </w:t>
      </w:r>
      <w:r w:rsidRPr="000A6B0A">
        <w:rPr>
          <w:rFonts w:asciiTheme="minorHAnsi" w:hAnsiTheme="minorHAnsi"/>
          <w:i/>
          <w:sz w:val="22"/>
          <w:szCs w:val="22"/>
          <w:lang w:val="en-GB"/>
        </w:rPr>
        <w:t>officio</w:t>
      </w:r>
      <w:r w:rsidRPr="000A6B0A">
        <w:rPr>
          <w:rFonts w:asciiTheme="minorHAnsi" w:hAnsiTheme="minorHAnsi"/>
          <w:sz w:val="22"/>
          <w:szCs w:val="22"/>
          <w:lang w:val="en-GB"/>
        </w:rPr>
        <w:t xml:space="preserve"> investigations; this is the case in Denmark, Finland or Slovenia.</w:t>
      </w:r>
      <w:r w:rsidRPr="000A6B0A" w:rsidDel="00893813">
        <w:rPr>
          <w:rFonts w:asciiTheme="minorHAnsi" w:hAnsiTheme="minorHAnsi"/>
          <w:sz w:val="22"/>
          <w:szCs w:val="22"/>
          <w:lang w:val="en-GB"/>
        </w:rPr>
        <w:t xml:space="preserve"> </w:t>
      </w:r>
      <w:r w:rsidRPr="000A6B0A">
        <w:rPr>
          <w:rFonts w:asciiTheme="minorHAnsi" w:hAnsiTheme="minorHAnsi"/>
          <w:sz w:val="22"/>
          <w:szCs w:val="22"/>
          <w:lang w:val="en-GB"/>
        </w:rPr>
        <w:t>The UK regulatory body publishes its final decision, together wi</w:t>
      </w:r>
      <w:r w:rsidR="009C7C22" w:rsidRPr="000A6B0A">
        <w:rPr>
          <w:rFonts w:asciiTheme="minorHAnsi" w:hAnsiTheme="minorHAnsi"/>
          <w:sz w:val="22"/>
          <w:szCs w:val="22"/>
          <w:lang w:val="en-GB"/>
        </w:rPr>
        <w:t>th</w:t>
      </w:r>
      <w:r w:rsidRPr="000A6B0A">
        <w:rPr>
          <w:rFonts w:asciiTheme="minorHAnsi" w:hAnsiTheme="minorHAnsi"/>
          <w:sz w:val="22"/>
          <w:szCs w:val="22"/>
          <w:lang w:val="en-GB"/>
        </w:rPr>
        <w:t xml:space="preserve"> any relevant consultation documentation or reports produced in the course of the five-year review.</w:t>
      </w:r>
      <w:r w:rsidR="00B64EBA" w:rsidRPr="000A6B0A">
        <w:rPr>
          <w:rFonts w:asciiTheme="minorHAnsi" w:hAnsiTheme="minorHAnsi"/>
          <w:sz w:val="22"/>
          <w:szCs w:val="22"/>
          <w:lang w:val="en-GB"/>
        </w:rPr>
        <w:t xml:space="preserve"> The same situation applies in Italy, where the new system of access charges was adopted, following several public consultations and a final assessment by ART on the coherence of the actual set of charges designed by the IM with the </w:t>
      </w:r>
      <w:r w:rsidR="00F97C31">
        <w:rPr>
          <w:rFonts w:asciiTheme="minorHAnsi" w:hAnsiTheme="minorHAnsi"/>
          <w:sz w:val="22"/>
          <w:szCs w:val="22"/>
          <w:lang w:val="en-GB"/>
        </w:rPr>
        <w:t>l</w:t>
      </w:r>
      <w:r w:rsidR="00B64EBA" w:rsidRPr="000A6B0A">
        <w:rPr>
          <w:rFonts w:asciiTheme="minorHAnsi" w:hAnsiTheme="minorHAnsi"/>
          <w:sz w:val="22"/>
          <w:szCs w:val="22"/>
          <w:lang w:val="en-GB"/>
        </w:rPr>
        <w:t>aw and regulation in place</w:t>
      </w:r>
      <w:r w:rsidR="00B64EBA" w:rsidRPr="000A6B0A">
        <w:rPr>
          <w:rStyle w:val="Appelnotedebasdep"/>
          <w:rFonts w:asciiTheme="minorHAnsi" w:hAnsiTheme="minorHAnsi"/>
          <w:sz w:val="22"/>
          <w:szCs w:val="22"/>
          <w:lang w:val="en-GB"/>
        </w:rPr>
        <w:footnoteReference w:id="63"/>
      </w:r>
      <w:r w:rsidR="003F0014"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C34E0E" w:rsidRDefault="000D2D45" w:rsidP="00C34E0E">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Most </w:t>
      </w:r>
      <w:r w:rsidR="006C0EBE" w:rsidRPr="000A6B0A">
        <w:rPr>
          <w:rFonts w:asciiTheme="minorHAnsi" w:hAnsiTheme="minorHAnsi"/>
          <w:sz w:val="22"/>
          <w:szCs w:val="22"/>
          <w:lang w:val="en-GB"/>
        </w:rPr>
        <w:t xml:space="preserve">regulatory bodies </w:t>
      </w:r>
      <w:r w:rsidRPr="000A6B0A">
        <w:rPr>
          <w:rFonts w:asciiTheme="minorHAnsi" w:hAnsiTheme="minorHAnsi"/>
          <w:sz w:val="22"/>
          <w:szCs w:val="22"/>
          <w:lang w:val="en-GB"/>
        </w:rPr>
        <w:t>pay attention to the confidentiality issue regarding any sensitive information that may be contained in their published decisions or reviews. For instance, in Poland</w:t>
      </w:r>
      <w:r w:rsidR="00FF7B6C">
        <w:rPr>
          <w:rFonts w:asciiTheme="minorHAnsi" w:hAnsiTheme="minorHAnsi"/>
          <w:sz w:val="22"/>
          <w:szCs w:val="22"/>
          <w:lang w:val="en-GB"/>
        </w:rPr>
        <w:t>,</w:t>
      </w:r>
      <w:r w:rsidR="00FF7B6C" w:rsidRPr="000A6B0A">
        <w:rPr>
          <w:rFonts w:asciiTheme="minorHAnsi" w:hAnsiTheme="minorHAnsi"/>
          <w:sz w:val="22"/>
          <w:szCs w:val="22"/>
          <w:lang w:val="en-GB"/>
        </w:rPr>
        <w:t xml:space="preserve"> </w:t>
      </w:r>
      <w:r w:rsidR="006E475E" w:rsidRPr="000A6B0A">
        <w:rPr>
          <w:rFonts w:asciiTheme="minorHAnsi" w:hAnsiTheme="minorHAnsi"/>
          <w:sz w:val="22"/>
          <w:szCs w:val="22"/>
          <w:lang w:val="en-GB"/>
        </w:rPr>
        <w:t>Germany</w:t>
      </w:r>
      <w:r w:rsidR="00FF7B6C">
        <w:rPr>
          <w:rFonts w:asciiTheme="minorHAnsi" w:hAnsiTheme="minorHAnsi"/>
          <w:sz w:val="22"/>
          <w:szCs w:val="22"/>
          <w:lang w:val="en-GB"/>
        </w:rPr>
        <w:t xml:space="preserve"> and Romania</w:t>
      </w:r>
      <w:r w:rsidR="006E475E"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some </w:t>
      </w:r>
      <w:r w:rsidR="00420D3F" w:rsidRPr="000A6B0A">
        <w:rPr>
          <w:rFonts w:asciiTheme="minorHAnsi" w:hAnsiTheme="minorHAnsi"/>
          <w:sz w:val="22"/>
          <w:szCs w:val="22"/>
          <w:lang w:val="en-GB"/>
        </w:rPr>
        <w:t>parts</w:t>
      </w:r>
      <w:r w:rsidRPr="000A6B0A">
        <w:rPr>
          <w:rFonts w:asciiTheme="minorHAnsi" w:hAnsiTheme="minorHAnsi"/>
          <w:sz w:val="22"/>
          <w:szCs w:val="22"/>
          <w:lang w:val="en-GB"/>
        </w:rPr>
        <w:t xml:space="preserve"> of the decisions are not published if they are considered as a </w:t>
      </w:r>
      <w:r w:rsidR="00F97C31">
        <w:rPr>
          <w:rFonts w:asciiTheme="minorHAnsi" w:hAnsiTheme="minorHAnsi"/>
          <w:sz w:val="22"/>
          <w:szCs w:val="22"/>
          <w:lang w:val="en-GB"/>
        </w:rPr>
        <w:t xml:space="preserve">business </w:t>
      </w:r>
      <w:r w:rsidRPr="000A6B0A">
        <w:rPr>
          <w:rFonts w:asciiTheme="minorHAnsi" w:hAnsiTheme="minorHAnsi"/>
          <w:sz w:val="22"/>
          <w:szCs w:val="22"/>
          <w:lang w:val="en-GB"/>
        </w:rPr>
        <w:t xml:space="preserve">secret of the </w:t>
      </w:r>
      <w:r w:rsidR="00A03B89" w:rsidRPr="000A6B0A">
        <w:rPr>
          <w:rFonts w:asciiTheme="minorHAnsi" w:hAnsiTheme="minorHAnsi"/>
          <w:sz w:val="22"/>
          <w:szCs w:val="22"/>
          <w:lang w:val="en-GB"/>
        </w:rPr>
        <w:t>IM</w:t>
      </w:r>
      <w:r w:rsidR="00255C4D" w:rsidRPr="000A6B0A">
        <w:rPr>
          <w:rFonts w:asciiTheme="minorHAnsi" w:hAnsiTheme="minorHAnsi"/>
          <w:sz w:val="22"/>
          <w:szCs w:val="22"/>
          <w:lang w:val="en-GB"/>
        </w:rPr>
        <w:t xml:space="preserve"> or other involved party</w:t>
      </w:r>
      <w:r w:rsidR="00A03B89" w:rsidRPr="000A6B0A">
        <w:rPr>
          <w:rFonts w:asciiTheme="minorHAnsi" w:hAnsiTheme="minorHAnsi"/>
          <w:sz w:val="22"/>
          <w:szCs w:val="22"/>
          <w:lang w:val="en-GB"/>
        </w:rPr>
        <w:t>.</w:t>
      </w:r>
      <w:r w:rsidR="003F0014" w:rsidRPr="000A6B0A">
        <w:rPr>
          <w:rFonts w:asciiTheme="minorHAnsi" w:hAnsiTheme="minorHAnsi"/>
          <w:sz w:val="22"/>
          <w:szCs w:val="22"/>
          <w:lang w:val="en-GB"/>
        </w:rPr>
        <w:t xml:space="preserve"> In Italy, the documents provided by the stakeholders during the consultations are published in their non-confidential versions.</w:t>
      </w:r>
      <w:r w:rsidR="00C047DE">
        <w:rPr>
          <w:rFonts w:asciiTheme="minorHAnsi" w:hAnsiTheme="minorHAnsi"/>
          <w:sz w:val="22"/>
          <w:szCs w:val="22"/>
          <w:lang w:val="en-GB"/>
        </w:rPr>
        <w:t xml:space="preserve"> </w:t>
      </w:r>
      <w:r w:rsidR="00C34E0E">
        <w:rPr>
          <w:rFonts w:asciiTheme="minorHAnsi" w:hAnsiTheme="minorHAnsi"/>
          <w:sz w:val="22"/>
          <w:szCs w:val="22"/>
          <w:lang w:val="en-GB"/>
        </w:rPr>
        <w:t xml:space="preserve">In Portugal, following a public consultation and a final assessment, the regulatory body publishes the final decision on the charges review. </w:t>
      </w:r>
    </w:p>
    <w:p w:rsidR="00D70DA5" w:rsidRDefault="00D70DA5" w:rsidP="00C34E0E">
      <w:pPr>
        <w:spacing w:line="276" w:lineRule="auto"/>
        <w:jc w:val="both"/>
        <w:rPr>
          <w:rFonts w:asciiTheme="minorHAnsi" w:hAnsiTheme="minorHAnsi"/>
          <w:sz w:val="22"/>
          <w:szCs w:val="22"/>
          <w:lang w:val="en-GB"/>
        </w:rPr>
      </w:pPr>
    </w:p>
    <w:p w:rsidR="00D70DA5" w:rsidRDefault="00D70DA5" w:rsidP="00D70DA5">
      <w:pPr>
        <w:pStyle w:val="Paragraphedeliste"/>
        <w:numPr>
          <w:ilvl w:val="0"/>
          <w:numId w:val="18"/>
        </w:numPr>
        <w:spacing w:line="276" w:lineRule="auto"/>
        <w:jc w:val="both"/>
        <w:rPr>
          <w:rFonts w:asciiTheme="minorHAnsi" w:hAnsiTheme="minorHAnsi"/>
          <w:i/>
          <w:noProof/>
          <w:sz w:val="22"/>
          <w:szCs w:val="22"/>
          <w:lang w:val="en-GB"/>
        </w:rPr>
      </w:pPr>
      <w:r>
        <w:rPr>
          <w:rFonts w:asciiTheme="minorHAnsi" w:hAnsiTheme="minorHAnsi"/>
          <w:i/>
          <w:noProof/>
          <w:sz w:val="22"/>
          <w:szCs w:val="22"/>
          <w:lang w:val="en-GB"/>
        </w:rPr>
        <w:t>Overview table for charging reviews</w:t>
      </w:r>
    </w:p>
    <w:p w:rsidR="00D70DA5" w:rsidRDefault="00D70DA5" w:rsidP="00C34E0E">
      <w:pPr>
        <w:spacing w:line="276" w:lineRule="auto"/>
        <w:jc w:val="both"/>
        <w:rPr>
          <w:rFonts w:asciiTheme="minorHAnsi" w:hAnsiTheme="minorHAnsi"/>
          <w:sz w:val="22"/>
          <w:szCs w:val="22"/>
          <w:lang w:val="en-GB"/>
        </w:rPr>
        <w:sectPr w:rsidR="00D70DA5" w:rsidSect="00D70DA5">
          <w:pgSz w:w="11907" w:h="16839"/>
          <w:pgMar w:top="1258" w:right="1287" w:bottom="1008" w:left="1800" w:header="708" w:footer="708" w:gutter="0"/>
          <w:cols w:space="708"/>
          <w:docGrid w:linePitch="360"/>
        </w:sectPr>
      </w:pPr>
    </w:p>
    <w:tbl>
      <w:tblPr>
        <w:tblW w:w="12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757"/>
        <w:gridCol w:w="734"/>
        <w:gridCol w:w="752"/>
        <w:gridCol w:w="738"/>
        <w:gridCol w:w="952"/>
        <w:gridCol w:w="837"/>
        <w:gridCol w:w="981"/>
        <w:gridCol w:w="1671"/>
        <w:gridCol w:w="2008"/>
        <w:gridCol w:w="1815"/>
      </w:tblGrid>
      <w:tr w:rsidR="00D70DA5" w:rsidRPr="00C54CEB" w:rsidTr="00F76A2F">
        <w:trPr>
          <w:trHeight w:val="552"/>
          <w:tblHeader/>
          <w:jc w:val="center"/>
        </w:trPr>
        <w:tc>
          <w:tcPr>
            <w:tcW w:w="1302"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491" w:type="dxa"/>
            <w:gridSpan w:val="2"/>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Review of charging principles</w:t>
            </w:r>
          </w:p>
        </w:tc>
        <w:tc>
          <w:tcPr>
            <w:tcW w:w="1490" w:type="dxa"/>
            <w:gridSpan w:val="2"/>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Review of the level of charges</w:t>
            </w:r>
          </w:p>
        </w:tc>
        <w:tc>
          <w:tcPr>
            <w:tcW w:w="2770" w:type="dxa"/>
            <w:gridSpan w:val="3"/>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Documents considered for reviews</w:t>
            </w:r>
          </w:p>
        </w:tc>
        <w:tc>
          <w:tcPr>
            <w:tcW w:w="1671"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Frequency of reviews</w:t>
            </w:r>
          </w:p>
        </w:tc>
        <w:tc>
          <w:tcPr>
            <w:tcW w:w="2008"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Consultations on reviews</w:t>
            </w:r>
          </w:p>
        </w:tc>
        <w:tc>
          <w:tcPr>
            <w:tcW w:w="1815"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Publication of decisions or opinions</w:t>
            </w:r>
          </w:p>
        </w:tc>
      </w:tr>
      <w:tr w:rsidR="00D70DA5" w:rsidRPr="000A6B0A" w:rsidTr="00F76A2F">
        <w:trPr>
          <w:trHeight w:val="776"/>
          <w:tblHeader/>
          <w:jc w:val="center"/>
        </w:trPr>
        <w:tc>
          <w:tcPr>
            <w:tcW w:w="1302"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757"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Ex ante</w:t>
            </w:r>
          </w:p>
        </w:tc>
        <w:tc>
          <w:tcPr>
            <w:tcW w:w="734"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Ex post</w:t>
            </w:r>
          </w:p>
        </w:tc>
        <w:tc>
          <w:tcPr>
            <w:tcW w:w="752"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Ex ante</w:t>
            </w:r>
          </w:p>
        </w:tc>
        <w:tc>
          <w:tcPr>
            <w:tcW w:w="738"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Ex post</w:t>
            </w:r>
          </w:p>
        </w:tc>
        <w:tc>
          <w:tcPr>
            <w:tcW w:w="952"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Network Statement</w:t>
            </w:r>
          </w:p>
        </w:tc>
        <w:tc>
          <w:tcPr>
            <w:tcW w:w="837"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Accounts of IM</w:t>
            </w:r>
          </w:p>
        </w:tc>
        <w:tc>
          <w:tcPr>
            <w:tcW w:w="981"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Regulatory Statements</w:t>
            </w:r>
          </w:p>
        </w:tc>
        <w:tc>
          <w:tcPr>
            <w:tcW w:w="1671"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2008"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815"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r>
      <w:tr w:rsidR="00D70DA5" w:rsidRPr="000A6B0A" w:rsidTr="00F76A2F">
        <w:trPr>
          <w:trHeight w:val="119"/>
          <w:jc w:val="center"/>
        </w:trPr>
        <w:tc>
          <w:tcPr>
            <w:tcW w:w="1302"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Ex post review every year</w:t>
            </w:r>
          </w:p>
        </w:tc>
        <w:tc>
          <w:tcPr>
            <w:tcW w:w="200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Ex ante review every year</w:t>
            </w: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Ex post review every year</w:t>
            </w:r>
          </w:p>
        </w:tc>
        <w:tc>
          <w:tcPr>
            <w:tcW w:w="200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Ex post review every year</w:t>
            </w:r>
          </w:p>
        </w:tc>
        <w:tc>
          <w:tcPr>
            <w:tcW w:w="2008"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3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2" w:type="dxa"/>
          </w:tcPr>
          <w:p w:rsidR="00D70DA5" w:rsidRPr="000A6B0A" w:rsidRDefault="00D70DA5">
            <w:pPr>
              <w:jc w:val="center"/>
              <w:rPr>
                <w:rFonts w:ascii="Calibri" w:hAnsi="Calibri"/>
                <w:b/>
                <w:sz w:val="22"/>
                <w:szCs w:val="22"/>
                <w:lang w:val="en-GB"/>
              </w:rPr>
            </w:pPr>
          </w:p>
        </w:tc>
        <w:tc>
          <w:tcPr>
            <w:tcW w:w="837" w:type="dxa"/>
          </w:tcPr>
          <w:p w:rsidR="00D70DA5" w:rsidRPr="000A6B0A" w:rsidRDefault="00D70DA5">
            <w:pPr>
              <w:jc w:val="center"/>
              <w:rPr>
                <w:rFonts w:ascii="Calibri" w:hAnsi="Calibri"/>
                <w:b/>
                <w:sz w:val="22"/>
                <w:szCs w:val="22"/>
                <w:lang w:val="en-GB"/>
              </w:rPr>
            </w:pPr>
          </w:p>
        </w:tc>
        <w:tc>
          <w:tcPr>
            <w:tcW w:w="981" w:type="dxa"/>
          </w:tcPr>
          <w:p w:rsidR="00D70DA5" w:rsidRPr="000A6B0A" w:rsidRDefault="00D70DA5">
            <w:pPr>
              <w:jc w:val="center"/>
              <w:rPr>
                <w:rFonts w:ascii="Calibri" w:hAnsi="Calibri"/>
                <w:b/>
                <w:sz w:val="22"/>
                <w:szCs w:val="22"/>
                <w:lang w:val="en-GB"/>
              </w:rPr>
            </w:pPr>
          </w:p>
        </w:tc>
        <w:tc>
          <w:tcPr>
            <w:tcW w:w="1671" w:type="dxa"/>
          </w:tcPr>
          <w:p w:rsidR="00D70DA5" w:rsidRPr="00175CFC" w:rsidRDefault="00D70DA5">
            <w:pPr>
              <w:rPr>
                <w:rFonts w:asciiTheme="minorHAnsi" w:hAnsiTheme="minorHAnsi"/>
                <w:sz w:val="18"/>
                <w:szCs w:val="20"/>
                <w:lang w:val="en-GB"/>
              </w:rPr>
            </w:pPr>
          </w:p>
        </w:tc>
        <w:tc>
          <w:tcPr>
            <w:tcW w:w="2008"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p>
        </w:tc>
        <w:tc>
          <w:tcPr>
            <w:tcW w:w="837"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p>
        </w:tc>
        <w:tc>
          <w:tcPr>
            <w:tcW w:w="981"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Pr="008360BE"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Finland</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r>
              <w:rPr>
                <w:rStyle w:val="Appelnotedebasdep"/>
                <w:rFonts w:ascii="Calibri" w:hAnsi="Calibri"/>
                <w:sz w:val="20"/>
                <w:lang w:val="en-GB"/>
              </w:rPr>
              <w:footnoteReference w:id="64"/>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r>
              <w:rPr>
                <w:rStyle w:val="Appelnotedebasdep"/>
                <w:rFonts w:ascii="Calibri" w:hAnsi="Calibri"/>
                <w:sz w:val="20"/>
                <w:lang w:val="en-GB"/>
              </w:rPr>
              <w:footnoteReference w:id="65"/>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No fixed frequency</w:t>
            </w:r>
          </w:p>
        </w:tc>
        <w:tc>
          <w:tcPr>
            <w:tcW w:w="2008"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b/>
                <w:sz w:val="20"/>
                <w:lang w:val="en-GB"/>
              </w:rPr>
            </w:pPr>
            <w:r w:rsidRPr="000A6B0A">
              <w:rPr>
                <w:rFonts w:ascii="Calibri" w:hAnsi="Calibri" w:cs="Calibri"/>
                <w:b/>
                <w:sz w:val="20"/>
                <w:lang w:val="en-GB"/>
              </w:rPr>
              <w:t>France</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Ex ante review every year</w:t>
            </w:r>
          </w:p>
        </w:tc>
        <w:tc>
          <w:tcPr>
            <w:tcW w:w="2008"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Germany  </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r w:rsidRPr="00175CFC">
              <w:rPr>
                <w:rFonts w:asciiTheme="minorHAnsi" w:hAnsiTheme="minorHAnsi"/>
                <w:sz w:val="18"/>
                <w:szCs w:val="20"/>
                <w:lang w:val="en-GB"/>
              </w:rPr>
              <w:t xml:space="preserve">Ex ante review </w:t>
            </w:r>
            <w:r>
              <w:rPr>
                <w:rFonts w:asciiTheme="minorHAnsi" w:hAnsiTheme="minorHAnsi"/>
                <w:sz w:val="18"/>
                <w:szCs w:val="20"/>
                <w:lang w:val="en-GB"/>
              </w:rPr>
              <w:t xml:space="preserve">every year and </w:t>
            </w:r>
            <w:r w:rsidRPr="00175CFC">
              <w:rPr>
                <w:rFonts w:asciiTheme="minorHAnsi" w:hAnsiTheme="minorHAnsi"/>
                <w:sz w:val="18"/>
                <w:szCs w:val="20"/>
                <w:lang w:val="en-GB"/>
              </w:rPr>
              <w:t>whenever changes occur</w:t>
            </w:r>
          </w:p>
        </w:tc>
        <w:tc>
          <w:tcPr>
            <w:tcW w:w="2008"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Greece</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shd w:val="clear" w:color="auto" w:fill="D9D9D9" w:themeFill="background1" w:themeFillShade="D9"/>
            <w:vAlign w:val="center"/>
          </w:tcPr>
          <w:p w:rsidR="00D70DA5" w:rsidRPr="000A6B0A" w:rsidRDefault="003946FB">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302"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Hungary</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p>
        </w:tc>
        <w:tc>
          <w:tcPr>
            <w:tcW w:w="2008"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Italy</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Pr>
                <w:rStyle w:val="Appelnotedebasdep"/>
                <w:rFonts w:ascii="Calibri" w:hAnsi="Calibri"/>
                <w:sz w:val="20"/>
                <w:lang w:val="en-GB"/>
              </w:rPr>
              <w:footnoteReference w:id="66"/>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shd w:val="clear" w:color="auto" w:fill="D9D9D9" w:themeFill="background1" w:themeFillShade="D9"/>
            <w:vAlign w:val="center"/>
          </w:tcPr>
          <w:p w:rsidR="00D70DA5" w:rsidRPr="00175CFC" w:rsidRDefault="00D70DA5">
            <w:pPr>
              <w:spacing w:line="276" w:lineRule="auto"/>
              <w:jc w:val="center"/>
              <w:rPr>
                <w:rFonts w:asciiTheme="minorHAnsi" w:hAnsiTheme="minorHAnsi"/>
                <w:sz w:val="18"/>
                <w:szCs w:val="20"/>
                <w:lang w:val="en-GB"/>
              </w:rPr>
            </w:pPr>
            <w:r>
              <w:rPr>
                <w:rFonts w:asciiTheme="minorHAnsi" w:hAnsiTheme="minorHAnsi"/>
                <w:sz w:val="18"/>
                <w:szCs w:val="20"/>
                <w:lang w:val="en-GB"/>
              </w:rPr>
              <w:t>Ex ante review every 5 years</w:t>
            </w: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Latvia</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p>
        </w:tc>
        <w:tc>
          <w:tcPr>
            <w:tcW w:w="2008"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800000"/>
                <w:sz w:val="28"/>
                <w:szCs w:val="28"/>
                <w:lang w:val="en-GB"/>
              </w:rPr>
              <w:t></w:t>
            </w:r>
          </w:p>
        </w:tc>
        <w:tc>
          <w:tcPr>
            <w:tcW w:w="1815" w:type="dxa"/>
            <w:vAlign w:val="center"/>
          </w:tcPr>
          <w:p w:rsidR="00D70DA5" w:rsidRPr="000A6B0A" w:rsidRDefault="00D70DA5">
            <w:pPr>
              <w:jc w:val="center"/>
              <w:rPr>
                <w:rFonts w:ascii="Calibri" w:hAnsi="Calibri"/>
                <w:b/>
                <w:sz w:val="22"/>
                <w:szCs w:val="22"/>
                <w:lang w:val="en-GB"/>
              </w:rPr>
            </w:pPr>
            <w:r w:rsidRPr="000A6B0A">
              <w:rPr>
                <w:rFonts w:ascii="Wingdings 2" w:hAnsi="Wingdings 2"/>
                <w:b/>
                <w:color w:val="008000"/>
                <w:sz w:val="28"/>
                <w:szCs w:val="28"/>
                <w:lang w:val="en-GB"/>
              </w:rPr>
              <w:t></w:t>
            </w:r>
          </w:p>
        </w:tc>
      </w:tr>
      <w:tr w:rsidR="00F76A2F" w:rsidRPr="000A6B0A" w:rsidTr="00F76A2F">
        <w:trPr>
          <w:trHeight w:val="107"/>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Netherlands</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r>
              <w:rPr>
                <w:rFonts w:asciiTheme="minorHAnsi" w:hAnsiTheme="minorHAnsi"/>
                <w:sz w:val="18"/>
                <w:szCs w:val="20"/>
                <w:lang w:val="en-GB"/>
              </w:rPr>
              <w:t xml:space="preserve">Periodic ex ante review every five </w:t>
            </w:r>
            <w:r>
              <w:rPr>
                <w:rFonts w:asciiTheme="minorHAnsi" w:hAnsiTheme="minorHAnsi"/>
                <w:sz w:val="18"/>
                <w:szCs w:val="20"/>
                <w:lang w:val="en-GB"/>
              </w:rPr>
              <w:lastRenderedPageBreak/>
              <w:t>years</w:t>
            </w: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lastRenderedPageBreak/>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174"/>
          <w:jc w:val="center"/>
        </w:trPr>
        <w:tc>
          <w:tcPr>
            <w:tcW w:w="1302"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lastRenderedPageBreak/>
              <w:t>Norway</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vAlign w:val="center"/>
          </w:tcPr>
          <w:p w:rsidR="00D70DA5" w:rsidRPr="00175CFC" w:rsidRDefault="00D70DA5">
            <w:pPr>
              <w:jc w:val="center"/>
              <w:rPr>
                <w:rFonts w:asciiTheme="minorHAnsi" w:hAnsiTheme="minorHAnsi"/>
                <w:sz w:val="18"/>
                <w:szCs w:val="20"/>
                <w:lang w:val="en-GB"/>
              </w:rPr>
            </w:pPr>
            <w:r>
              <w:rPr>
                <w:rFonts w:asciiTheme="minorHAnsi" w:hAnsiTheme="minorHAnsi"/>
                <w:sz w:val="18"/>
                <w:szCs w:val="20"/>
                <w:lang w:val="en-GB"/>
              </w:rPr>
              <w:t>No fixed frequency</w:t>
            </w:r>
          </w:p>
        </w:tc>
        <w:tc>
          <w:tcPr>
            <w:tcW w:w="200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Poland</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r>
              <w:rPr>
                <w:rFonts w:asciiTheme="minorHAnsi" w:hAnsiTheme="minorHAnsi"/>
                <w:sz w:val="18"/>
                <w:szCs w:val="20"/>
                <w:lang w:val="en-GB"/>
              </w:rPr>
              <w:t>Ex post reviews every year</w:t>
            </w: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302"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75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vAlign w:val="center"/>
          </w:tcPr>
          <w:p w:rsidR="00D70DA5" w:rsidRDefault="00D70DA5">
            <w:pPr>
              <w:jc w:val="center"/>
              <w:rPr>
                <w:rFonts w:asciiTheme="minorHAnsi" w:hAnsiTheme="minorHAnsi"/>
                <w:sz w:val="18"/>
                <w:szCs w:val="20"/>
                <w:lang w:val="en-GB"/>
              </w:rPr>
            </w:pPr>
          </w:p>
        </w:tc>
        <w:tc>
          <w:tcPr>
            <w:tcW w:w="200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71" w:type="dxa"/>
            <w:shd w:val="clear" w:color="auto" w:fill="D9D9D9" w:themeFill="background1" w:themeFillShade="D9"/>
            <w:vAlign w:val="center"/>
          </w:tcPr>
          <w:p w:rsidR="00D70DA5" w:rsidRDefault="00D70DA5">
            <w:pPr>
              <w:jc w:val="center"/>
              <w:rPr>
                <w:rFonts w:asciiTheme="minorHAnsi" w:hAnsiTheme="minorHAnsi"/>
                <w:sz w:val="18"/>
                <w:szCs w:val="20"/>
                <w:lang w:val="en-GB"/>
              </w:rPr>
            </w:pPr>
            <w:r>
              <w:rPr>
                <w:rFonts w:asciiTheme="minorHAnsi" w:hAnsiTheme="minorHAnsi"/>
                <w:sz w:val="18"/>
                <w:szCs w:val="20"/>
                <w:lang w:val="en-GB"/>
              </w:rPr>
              <w:t>Reviews every 2 years</w:t>
            </w: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302" w:type="dxa"/>
            <w:shd w:val="clear" w:color="auto" w:fill="FFFFFF" w:themeFill="background1"/>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Slovakia</w:t>
            </w:r>
          </w:p>
        </w:tc>
        <w:tc>
          <w:tcPr>
            <w:tcW w:w="757"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81"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671" w:type="dxa"/>
            <w:shd w:val="clear" w:color="auto" w:fill="FFFFFF" w:themeFill="background1"/>
            <w:vAlign w:val="center"/>
          </w:tcPr>
          <w:p w:rsidR="00D70DA5" w:rsidRDefault="00D70DA5">
            <w:pPr>
              <w:jc w:val="center"/>
              <w:rPr>
                <w:rFonts w:asciiTheme="minorHAnsi" w:hAnsiTheme="minorHAnsi"/>
                <w:sz w:val="18"/>
                <w:szCs w:val="20"/>
                <w:lang w:val="en-GB"/>
              </w:rPr>
            </w:pPr>
            <w:r>
              <w:rPr>
                <w:rFonts w:asciiTheme="minorHAnsi" w:hAnsiTheme="minorHAnsi"/>
                <w:sz w:val="18"/>
                <w:szCs w:val="20"/>
                <w:lang w:val="en-GB"/>
              </w:rPr>
              <w:t>Ex post review every year</w:t>
            </w:r>
          </w:p>
        </w:tc>
        <w:tc>
          <w:tcPr>
            <w:tcW w:w="2008"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F76A2F" w:rsidTr="00F76A2F">
        <w:trPr>
          <w:trHeight w:val="56"/>
          <w:jc w:val="center"/>
        </w:trPr>
        <w:tc>
          <w:tcPr>
            <w:tcW w:w="1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Slovenia</w:t>
            </w:r>
          </w:p>
        </w:tc>
        <w:tc>
          <w:tcPr>
            <w:tcW w:w="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7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7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pPr>
            <w:r>
              <w:rPr>
                <w:rFonts w:ascii="Wingdings 2" w:hAnsi="Wingdings 2"/>
                <w:b/>
                <w:color w:val="008000"/>
                <w:sz w:val="28"/>
                <w:szCs w:val="28"/>
                <w:lang w:val="en-GB"/>
              </w:rPr>
              <w:t></w:t>
            </w:r>
          </w:p>
        </w:tc>
        <w:tc>
          <w:tcPr>
            <w:tcW w:w="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pPr>
            <w:r>
              <w:rPr>
                <w:rFonts w:ascii="Wingdings 2" w:hAnsi="Wingdings 2"/>
                <w:b/>
                <w:color w:val="008000"/>
                <w:sz w:val="28"/>
                <w:szCs w:val="28"/>
                <w:lang w:val="en-GB"/>
              </w:rPr>
              <w:t></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pPr>
            <w:r>
              <w:rPr>
                <w:rFonts w:ascii="Wingdings 2" w:hAnsi="Wingdings 2"/>
                <w:b/>
                <w:color w:val="008000"/>
                <w:sz w:val="28"/>
                <w:szCs w:val="28"/>
                <w:lang w:val="en-GB"/>
              </w:rPr>
              <w:t></w:t>
            </w:r>
          </w:p>
        </w:tc>
        <w:tc>
          <w:tcPr>
            <w:tcW w:w="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pPr>
            <w:r>
              <w:rPr>
                <w:rFonts w:ascii="Wingdings 2" w:hAnsi="Wingdings 2"/>
                <w:b/>
                <w:color w:val="008000"/>
                <w:sz w:val="28"/>
                <w:szCs w:val="28"/>
                <w:lang w:val="en-GB"/>
              </w:rPr>
              <w:t></w:t>
            </w:r>
          </w:p>
        </w:tc>
        <w:tc>
          <w:tcPr>
            <w:tcW w:w="1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Theme="minorHAnsi" w:hAnsiTheme="minorHAnsi"/>
                <w:sz w:val="18"/>
                <w:szCs w:val="20"/>
                <w:lang w:val="en-GB"/>
              </w:rPr>
            </w:pPr>
            <w:r>
              <w:rPr>
                <w:rFonts w:asciiTheme="minorHAnsi" w:hAnsiTheme="minorHAnsi"/>
                <w:sz w:val="18"/>
                <w:szCs w:val="20"/>
                <w:lang w:val="en-GB"/>
              </w:rPr>
              <w:t>After change of methodology</w:t>
            </w:r>
          </w:p>
        </w:tc>
        <w:tc>
          <w:tcPr>
            <w:tcW w:w="2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r>
      <w:tr w:rsidR="00D70DA5" w:rsidTr="00F76A2F">
        <w:trPr>
          <w:trHeight w:val="56"/>
          <w:jc w:val="center"/>
        </w:trPr>
        <w:tc>
          <w:tcPr>
            <w:tcW w:w="1302" w:type="dxa"/>
            <w:tcBorders>
              <w:top w:val="single" w:sz="4" w:space="0" w:color="auto"/>
              <w:left w:val="single" w:sz="4" w:space="0" w:color="auto"/>
              <w:bottom w:val="single" w:sz="4" w:space="0" w:color="auto"/>
              <w:right w:val="single" w:sz="4" w:space="0" w:color="auto"/>
            </w:tcBorders>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Spain</w:t>
            </w:r>
          </w:p>
        </w:tc>
        <w:tc>
          <w:tcPr>
            <w:tcW w:w="757"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734"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r>
              <w:rPr>
                <w:rStyle w:val="Appelnotedebasdep"/>
                <w:rFonts w:ascii="Calibri" w:hAnsi="Calibri"/>
                <w:sz w:val="20"/>
                <w:lang w:val="en-GB"/>
              </w:rPr>
              <w:footnoteReference w:id="67"/>
            </w:r>
          </w:p>
        </w:tc>
        <w:tc>
          <w:tcPr>
            <w:tcW w:w="752"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738"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r>
              <w:rPr>
                <w:rStyle w:val="Appelnotedebasdep"/>
                <w:rFonts w:ascii="Calibri" w:hAnsi="Calibri"/>
                <w:sz w:val="20"/>
                <w:lang w:val="en-GB"/>
              </w:rPr>
              <w:footnoteReference w:id="68"/>
            </w:r>
          </w:p>
        </w:tc>
        <w:tc>
          <w:tcPr>
            <w:tcW w:w="952"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837"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981"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671"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Theme="minorHAnsi" w:hAnsiTheme="minorHAnsi"/>
                <w:sz w:val="18"/>
                <w:szCs w:val="20"/>
                <w:lang w:val="en-GB"/>
              </w:rPr>
            </w:pPr>
            <w:r>
              <w:rPr>
                <w:rFonts w:asciiTheme="minorHAnsi" w:hAnsiTheme="minorHAnsi"/>
                <w:sz w:val="18"/>
                <w:szCs w:val="20"/>
                <w:lang w:val="en-GB"/>
              </w:rPr>
              <w:t>Reviews every year</w:t>
            </w:r>
          </w:p>
        </w:tc>
        <w:tc>
          <w:tcPr>
            <w:tcW w:w="2008"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815" w:type="dxa"/>
            <w:tcBorders>
              <w:top w:val="single" w:sz="4" w:space="0" w:color="auto"/>
              <w:left w:val="single" w:sz="4" w:space="0" w:color="auto"/>
              <w:bottom w:val="single" w:sz="4" w:space="0" w:color="auto"/>
              <w:right w:val="single" w:sz="4" w:space="0" w:color="auto"/>
            </w:tcBorders>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Sweden</w:t>
            </w:r>
          </w:p>
        </w:tc>
        <w:tc>
          <w:tcPr>
            <w:tcW w:w="75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3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shd w:val="clear" w:color="auto" w:fill="D9D9D9" w:themeFill="background1" w:themeFillShade="D9"/>
            <w:vAlign w:val="center"/>
          </w:tcPr>
          <w:p w:rsidR="00D70DA5" w:rsidRPr="00175CFC" w:rsidRDefault="00D70DA5">
            <w:pPr>
              <w:jc w:val="center"/>
              <w:rPr>
                <w:rFonts w:asciiTheme="minorHAnsi" w:hAnsiTheme="minorHAnsi"/>
                <w:sz w:val="18"/>
                <w:szCs w:val="20"/>
                <w:lang w:val="en-GB"/>
              </w:rPr>
            </w:pPr>
          </w:p>
        </w:tc>
        <w:tc>
          <w:tcPr>
            <w:tcW w:w="200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81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302" w:type="dxa"/>
            <w:shd w:val="clear" w:color="auto" w:fill="FFFFFF" w:themeFill="background1"/>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United Kingdom</w:t>
            </w:r>
          </w:p>
        </w:tc>
        <w:tc>
          <w:tcPr>
            <w:tcW w:w="757"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4"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5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738"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37"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8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671" w:type="dxa"/>
            <w:shd w:val="clear" w:color="auto" w:fill="FFFFFF" w:themeFill="background1"/>
            <w:vAlign w:val="center"/>
          </w:tcPr>
          <w:p w:rsidR="00D70DA5" w:rsidRDefault="00D70DA5">
            <w:pPr>
              <w:jc w:val="center"/>
              <w:rPr>
                <w:rFonts w:asciiTheme="minorHAnsi" w:hAnsiTheme="minorHAnsi"/>
                <w:sz w:val="18"/>
                <w:szCs w:val="20"/>
                <w:lang w:val="en-GB"/>
              </w:rPr>
            </w:pPr>
            <w:r>
              <w:rPr>
                <w:rFonts w:asciiTheme="minorHAnsi" w:hAnsiTheme="minorHAnsi"/>
                <w:sz w:val="18"/>
                <w:szCs w:val="20"/>
                <w:lang w:val="en-GB"/>
              </w:rPr>
              <w:t>Periodic reviews every five years</w:t>
            </w:r>
          </w:p>
        </w:tc>
        <w:tc>
          <w:tcPr>
            <w:tcW w:w="2008"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815"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bl>
    <w:p w:rsidR="00D70DA5" w:rsidRDefault="00D70DA5" w:rsidP="00C34E0E">
      <w:pPr>
        <w:spacing w:line="276" w:lineRule="auto"/>
        <w:jc w:val="both"/>
        <w:rPr>
          <w:rFonts w:asciiTheme="minorHAnsi" w:hAnsiTheme="minorHAnsi"/>
          <w:sz w:val="22"/>
          <w:szCs w:val="22"/>
          <w:lang w:val="en-GB"/>
        </w:rPr>
      </w:pPr>
    </w:p>
    <w:p w:rsidR="00D70DA5" w:rsidRDefault="00D70DA5" w:rsidP="00C34E0E">
      <w:pPr>
        <w:spacing w:line="276" w:lineRule="auto"/>
        <w:jc w:val="both"/>
        <w:rPr>
          <w:rFonts w:asciiTheme="minorHAnsi" w:hAnsiTheme="minorHAnsi"/>
          <w:sz w:val="22"/>
          <w:szCs w:val="22"/>
          <w:lang w:val="en-GB"/>
        </w:rPr>
        <w:sectPr w:rsidR="00D70DA5" w:rsidSect="0086605D">
          <w:pgSz w:w="16839" w:h="11907" w:orient="landscape"/>
          <w:pgMar w:top="1800" w:right="1258" w:bottom="1287" w:left="1008" w:header="708" w:footer="708" w:gutter="0"/>
          <w:cols w:space="708"/>
          <w:docGrid w:linePitch="360"/>
        </w:sectPr>
      </w:pPr>
    </w:p>
    <w:p w:rsidR="000D2D45" w:rsidRPr="000A6B0A" w:rsidRDefault="000D2D45" w:rsidP="00E561FB">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lastRenderedPageBreak/>
        <w:t>Charging principles and costs model</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Charging principles and regulatory bodies’ review of cost assessment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most countries, the charging models are based (at least partly) on the principle of marginal cost </w:t>
      </w:r>
      <w:r w:rsidR="006C5F50" w:rsidRPr="000A6B0A">
        <w:rPr>
          <w:rFonts w:asciiTheme="minorHAnsi" w:hAnsiTheme="minorHAnsi"/>
          <w:sz w:val="22"/>
          <w:szCs w:val="22"/>
          <w:lang w:val="en-GB"/>
        </w:rPr>
        <w:t xml:space="preserve">pricing. In the case of Finland </w:t>
      </w:r>
      <w:r w:rsidR="00F45F05">
        <w:rPr>
          <w:rFonts w:asciiTheme="minorHAnsi" w:hAnsiTheme="minorHAnsi"/>
          <w:sz w:val="22"/>
          <w:szCs w:val="22"/>
          <w:lang w:val="en-GB"/>
        </w:rPr>
        <w:t>and</w:t>
      </w:r>
      <w:r w:rsidR="00F45F05" w:rsidRPr="000A6B0A">
        <w:rPr>
          <w:rFonts w:asciiTheme="minorHAnsi" w:hAnsiTheme="minorHAnsi"/>
          <w:sz w:val="22"/>
          <w:szCs w:val="22"/>
          <w:lang w:val="en-GB"/>
        </w:rPr>
        <w:t xml:space="preserve"> </w:t>
      </w:r>
      <w:r w:rsidR="006C5F50" w:rsidRPr="000A6B0A">
        <w:rPr>
          <w:rFonts w:asciiTheme="minorHAnsi" w:hAnsiTheme="minorHAnsi"/>
          <w:sz w:val="22"/>
          <w:szCs w:val="22"/>
          <w:lang w:val="en-GB"/>
        </w:rPr>
        <w:t xml:space="preserve">Sweden </w:t>
      </w:r>
      <w:r w:rsidRPr="000A6B0A">
        <w:rPr>
          <w:rFonts w:asciiTheme="minorHAnsi" w:hAnsiTheme="minorHAnsi"/>
          <w:sz w:val="22"/>
          <w:szCs w:val="22"/>
          <w:lang w:val="en-GB"/>
        </w:rPr>
        <w:t xml:space="preserve">charging systems are solely based on marginal costs. While some of the governments support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through a subsidy, others </w:t>
      </w:r>
      <w:r w:rsidR="00495EEB">
        <w:rPr>
          <w:rFonts w:asciiTheme="minorHAnsi" w:hAnsiTheme="minorHAnsi"/>
          <w:sz w:val="22"/>
          <w:szCs w:val="22"/>
          <w:lang w:val="en-GB"/>
        </w:rPr>
        <w:t xml:space="preserve">additionally </w:t>
      </w:r>
      <w:r w:rsidRPr="000A6B0A">
        <w:rPr>
          <w:rFonts w:asciiTheme="minorHAnsi" w:hAnsiTheme="minorHAnsi"/>
          <w:sz w:val="22"/>
          <w:szCs w:val="22"/>
          <w:lang w:val="en-GB"/>
        </w:rPr>
        <w:t xml:space="preserve">require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to recover some of its fixed costs through the charging framework in the form of mark-ups, as in France, Germany, </w:t>
      </w:r>
      <w:r w:rsidR="006E475E" w:rsidRPr="000A6B0A">
        <w:rPr>
          <w:rFonts w:asciiTheme="minorHAnsi" w:hAnsiTheme="minorHAnsi"/>
          <w:sz w:val="22"/>
          <w:szCs w:val="22"/>
          <w:lang w:val="en-GB"/>
        </w:rPr>
        <w:t xml:space="preserve">Italy, </w:t>
      </w:r>
      <w:r w:rsidRPr="000A6B0A">
        <w:rPr>
          <w:rFonts w:asciiTheme="minorHAnsi" w:hAnsiTheme="minorHAnsi"/>
          <w:sz w:val="22"/>
          <w:szCs w:val="22"/>
          <w:lang w:val="en-GB"/>
        </w:rPr>
        <w:t xml:space="preserve">the Netherlands (for </w:t>
      </w:r>
      <w:r w:rsidR="00C54CEB">
        <w:rPr>
          <w:rFonts w:asciiTheme="minorHAnsi" w:hAnsiTheme="minorHAnsi"/>
          <w:sz w:val="22"/>
          <w:szCs w:val="22"/>
          <w:lang w:val="en-GB"/>
        </w:rPr>
        <w:t xml:space="preserve">the </w:t>
      </w:r>
      <w:r w:rsidR="003712A4" w:rsidRPr="000A6B0A">
        <w:rPr>
          <w:rFonts w:asciiTheme="minorHAnsi" w:hAnsiTheme="minorHAnsi"/>
          <w:sz w:val="22"/>
          <w:szCs w:val="22"/>
          <w:lang w:val="en-GB"/>
        </w:rPr>
        <w:t xml:space="preserve"> </w:t>
      </w:r>
      <w:r w:rsidRPr="000A6B0A">
        <w:rPr>
          <w:rFonts w:asciiTheme="minorHAnsi" w:hAnsiTheme="minorHAnsi"/>
          <w:sz w:val="22"/>
          <w:szCs w:val="22"/>
          <w:lang w:val="en-GB"/>
        </w:rPr>
        <w:t>high speed line only), Norway</w:t>
      </w:r>
      <w:r w:rsidR="00963827" w:rsidRPr="000A6B0A">
        <w:rPr>
          <w:rFonts w:asciiTheme="minorHAnsi" w:hAnsiTheme="minorHAnsi"/>
          <w:sz w:val="22"/>
          <w:szCs w:val="22"/>
          <w:lang w:val="en-GB"/>
        </w:rPr>
        <w:t>, Switzerland</w:t>
      </w:r>
      <w:r w:rsidRPr="000A6B0A">
        <w:rPr>
          <w:rFonts w:asciiTheme="minorHAnsi" w:hAnsiTheme="minorHAnsi"/>
          <w:sz w:val="22"/>
          <w:szCs w:val="22"/>
          <w:lang w:val="en-GB"/>
        </w:rPr>
        <w:t xml:space="preserve"> and the UK.</w:t>
      </w:r>
    </w:p>
    <w:p w:rsidR="00420D3F" w:rsidRPr="000A6B0A" w:rsidRDefault="00420D3F" w:rsidP="000D2D45">
      <w:pPr>
        <w:spacing w:line="276" w:lineRule="auto"/>
        <w:jc w:val="both"/>
        <w:rPr>
          <w:rFonts w:asciiTheme="minorHAnsi" w:hAnsiTheme="minorHAnsi"/>
          <w:sz w:val="22"/>
          <w:szCs w:val="22"/>
          <w:lang w:val="en-GB"/>
        </w:rPr>
      </w:pPr>
    </w:p>
    <w:p w:rsidR="00420D3F" w:rsidRDefault="00420D3F" w:rsidP="00420D3F">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most countries, a multi-annual contract approved by the </w:t>
      </w:r>
      <w:r w:rsidR="009677F2" w:rsidRPr="000A6B0A">
        <w:rPr>
          <w:rFonts w:asciiTheme="minorHAnsi" w:hAnsiTheme="minorHAnsi"/>
          <w:sz w:val="22"/>
          <w:szCs w:val="22"/>
          <w:lang w:val="en-GB"/>
        </w:rPr>
        <w:t>IM</w:t>
      </w:r>
      <w:r w:rsidRPr="000A6B0A">
        <w:rPr>
          <w:rFonts w:asciiTheme="minorHAnsi" w:hAnsiTheme="minorHAnsi"/>
          <w:sz w:val="22"/>
          <w:szCs w:val="22"/>
          <w:lang w:val="en-GB"/>
        </w:rPr>
        <w:t xml:space="preserve"> and the government, states, among other things, the amount of public subsidy for maintaining the infrastructure and a range of defined quality standards. In the UK, statutory arrangements play this role. There </w:t>
      </w:r>
      <w:r w:rsidR="009C7C22" w:rsidRPr="000A6B0A">
        <w:rPr>
          <w:rFonts w:asciiTheme="minorHAnsi" w:hAnsiTheme="minorHAnsi"/>
          <w:sz w:val="22"/>
          <w:szCs w:val="22"/>
          <w:lang w:val="en-GB"/>
        </w:rPr>
        <w:t xml:space="preserve">is </w:t>
      </w:r>
      <w:r w:rsidRPr="000A6B0A">
        <w:rPr>
          <w:rFonts w:asciiTheme="minorHAnsi" w:hAnsiTheme="minorHAnsi"/>
          <w:sz w:val="22"/>
          <w:szCs w:val="22"/>
          <w:lang w:val="en-GB"/>
        </w:rPr>
        <w:t>no contract per se.</w:t>
      </w:r>
    </w:p>
    <w:p w:rsidR="00C34E0E" w:rsidRDefault="00C34E0E" w:rsidP="00420D3F">
      <w:pPr>
        <w:spacing w:line="276" w:lineRule="auto"/>
        <w:jc w:val="both"/>
        <w:rPr>
          <w:rFonts w:asciiTheme="minorHAnsi" w:hAnsiTheme="minorHAnsi"/>
          <w:sz w:val="22"/>
          <w:szCs w:val="22"/>
          <w:lang w:val="en-GB"/>
        </w:rPr>
      </w:pPr>
    </w:p>
    <w:p w:rsidR="00C34E0E" w:rsidRPr="000A6B0A" w:rsidRDefault="00C34E0E" w:rsidP="00420D3F">
      <w:pPr>
        <w:spacing w:line="276" w:lineRule="auto"/>
        <w:jc w:val="both"/>
        <w:rPr>
          <w:rFonts w:asciiTheme="minorHAnsi" w:hAnsiTheme="minorHAnsi"/>
          <w:sz w:val="22"/>
          <w:szCs w:val="22"/>
          <w:lang w:val="en-GB"/>
        </w:rPr>
      </w:pPr>
      <w:r>
        <w:rPr>
          <w:rFonts w:asciiTheme="minorHAnsi" w:hAnsiTheme="minorHAnsi"/>
          <w:sz w:val="22"/>
          <w:szCs w:val="22"/>
          <w:lang w:val="en-GB"/>
        </w:rPr>
        <w:t>In Portugal, a 5-year Framework Contract for the National Railway Network was signed, on 11 March 2016, between the Portuguese State and IP, the IM, in compliance with Decree-Law no. 217/2015, of 7 October. Under this contract, the State's main obligation is to finance the management of the infrastructures while IP is obliged to meet user-oriented performance targets, in the form of indicators and quality criteria covering elements such as train performance (line speed and reliability, and customer satisfaction), network capacity, asset management, activity volumes, safety levels, and environmental protection. The contract also sets financial efficiency objectives for IP in the form of revenue and expenditure indicators.</w:t>
      </w: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br/>
        <w:t>Most regulatory bodies are involved in the review of access charging</w:t>
      </w:r>
      <w:r w:rsidR="00420D3F" w:rsidRPr="000A6B0A">
        <w:rPr>
          <w:rFonts w:asciiTheme="minorHAnsi" w:hAnsiTheme="minorHAnsi"/>
          <w:sz w:val="22"/>
          <w:szCs w:val="22"/>
          <w:lang w:val="en-GB"/>
        </w:rPr>
        <w:t>. H</w:t>
      </w:r>
      <w:r w:rsidRPr="000A6B0A">
        <w:rPr>
          <w:rFonts w:asciiTheme="minorHAnsi" w:hAnsiTheme="minorHAnsi"/>
          <w:sz w:val="22"/>
          <w:szCs w:val="22"/>
          <w:lang w:val="en-GB"/>
        </w:rPr>
        <w:t xml:space="preserve">owever, their roles and degree of involvement appear to diverge significantly from one country to another. All members are </w:t>
      </w:r>
      <w:r w:rsidR="00420D3F" w:rsidRPr="000A6B0A">
        <w:rPr>
          <w:rFonts w:asciiTheme="minorHAnsi" w:hAnsiTheme="minorHAnsi"/>
          <w:sz w:val="22"/>
          <w:szCs w:val="22"/>
          <w:lang w:val="en-GB"/>
        </w:rPr>
        <w:t>required</w:t>
      </w:r>
      <w:r w:rsidRPr="000A6B0A">
        <w:rPr>
          <w:rFonts w:asciiTheme="minorHAnsi" w:hAnsiTheme="minorHAnsi"/>
          <w:sz w:val="22"/>
          <w:szCs w:val="22"/>
          <w:lang w:val="en-GB"/>
        </w:rPr>
        <w:t xml:space="preserve"> to review charging principles, even though in some few cases, the regulatory body is not involved in determining the charges in any way. Regulatory bodies in France, Germany</w:t>
      </w:r>
      <w:r w:rsidR="00B5756A" w:rsidRPr="000A6B0A">
        <w:rPr>
          <w:rFonts w:asciiTheme="minorHAnsi" w:hAnsiTheme="minorHAnsi"/>
          <w:sz w:val="22"/>
          <w:szCs w:val="22"/>
          <w:lang w:val="en-GB"/>
        </w:rPr>
        <w:t xml:space="preserve">, Italy </w:t>
      </w:r>
      <w:r w:rsidRPr="000A6B0A">
        <w:rPr>
          <w:rFonts w:asciiTheme="minorHAnsi" w:hAnsiTheme="minorHAnsi"/>
          <w:sz w:val="22"/>
          <w:szCs w:val="22"/>
          <w:lang w:val="en-GB"/>
        </w:rPr>
        <w:t xml:space="preserve">and in the UK </w:t>
      </w:r>
      <w:r w:rsidR="00420D3F" w:rsidRPr="000A6B0A">
        <w:rPr>
          <w:rFonts w:asciiTheme="minorHAnsi" w:hAnsiTheme="minorHAnsi"/>
          <w:sz w:val="22"/>
          <w:szCs w:val="22"/>
          <w:lang w:val="en-GB"/>
        </w:rPr>
        <w:t>carry out an</w:t>
      </w:r>
      <w:r w:rsidRPr="000A6B0A">
        <w:rPr>
          <w:rFonts w:asciiTheme="minorHAnsi" w:hAnsiTheme="minorHAnsi"/>
          <w:sz w:val="22"/>
          <w:szCs w:val="22"/>
          <w:lang w:val="en-GB"/>
        </w:rPr>
        <w:t xml:space="preserve"> </w:t>
      </w:r>
      <w:r w:rsidR="00771B6E" w:rsidRPr="000A6B0A">
        <w:rPr>
          <w:rFonts w:asciiTheme="minorHAnsi" w:hAnsiTheme="minorHAnsi"/>
          <w:i/>
          <w:sz w:val="22"/>
          <w:szCs w:val="22"/>
          <w:lang w:val="en-GB"/>
        </w:rPr>
        <w:t xml:space="preserve">ex </w:t>
      </w:r>
      <w:r w:rsidRPr="000A6B0A">
        <w:rPr>
          <w:rFonts w:asciiTheme="minorHAnsi" w:hAnsiTheme="minorHAnsi"/>
          <w:i/>
          <w:sz w:val="22"/>
          <w:szCs w:val="22"/>
          <w:lang w:val="en-GB"/>
        </w:rPr>
        <w:t>ante</w:t>
      </w:r>
      <w:r w:rsidRPr="000A6B0A">
        <w:rPr>
          <w:rFonts w:asciiTheme="minorHAnsi" w:hAnsiTheme="minorHAnsi"/>
          <w:sz w:val="22"/>
          <w:szCs w:val="22"/>
          <w:lang w:val="en-GB"/>
        </w:rPr>
        <w:t xml:space="preserve"> </w:t>
      </w:r>
      <w:r w:rsidR="00420D3F" w:rsidRPr="000A6B0A">
        <w:rPr>
          <w:rFonts w:asciiTheme="minorHAnsi" w:hAnsiTheme="minorHAnsi"/>
          <w:sz w:val="22"/>
          <w:szCs w:val="22"/>
          <w:lang w:val="en-GB"/>
        </w:rPr>
        <w:t xml:space="preserve">review of </w:t>
      </w:r>
      <w:r w:rsidRPr="000A6B0A">
        <w:rPr>
          <w:rFonts w:asciiTheme="minorHAnsi" w:hAnsiTheme="minorHAnsi"/>
          <w:sz w:val="22"/>
          <w:szCs w:val="22"/>
          <w:lang w:val="en-GB"/>
        </w:rPr>
        <w:t xml:space="preserve">the methodology of charges calculation and </w:t>
      </w:r>
      <w:r w:rsidR="00C8110C" w:rsidRPr="000A6B0A">
        <w:rPr>
          <w:rFonts w:asciiTheme="minorHAnsi" w:hAnsiTheme="minorHAnsi"/>
          <w:sz w:val="22"/>
          <w:szCs w:val="22"/>
          <w:lang w:val="en-GB"/>
        </w:rPr>
        <w:t xml:space="preserve">of </w:t>
      </w:r>
      <w:r w:rsidRPr="000A6B0A">
        <w:rPr>
          <w:rFonts w:asciiTheme="minorHAnsi" w:hAnsiTheme="minorHAnsi"/>
          <w:sz w:val="22"/>
          <w:szCs w:val="22"/>
          <w:lang w:val="en-GB"/>
        </w:rPr>
        <w:t>cost assessment.</w:t>
      </w:r>
      <w:r w:rsidR="00C34E0E">
        <w:rPr>
          <w:rFonts w:asciiTheme="minorHAnsi" w:hAnsiTheme="minorHAnsi"/>
          <w:sz w:val="22"/>
          <w:szCs w:val="22"/>
          <w:lang w:val="en-GB"/>
        </w:rPr>
        <w:t xml:space="preserve"> Also in Portugal, the regulatory body reviews the methodology of charges calculation once, and has to homologate the tariffs considered concerning the use of railway infrastructure in the Network Statement (according to the bylaws of the RB).</w:t>
      </w:r>
      <w:r w:rsidRPr="000A6B0A">
        <w:rPr>
          <w:rFonts w:asciiTheme="minorHAnsi" w:hAnsiTheme="minorHAnsi"/>
          <w:sz w:val="22"/>
          <w:szCs w:val="22"/>
          <w:lang w:val="en-GB"/>
        </w:rPr>
        <w:t xml:space="preserve"> The ORR requires Network Rail to consult the rail industry on its methodolog</w:t>
      </w:r>
      <w:r w:rsidR="00A202CC" w:rsidRPr="000A6B0A">
        <w:rPr>
          <w:rFonts w:asciiTheme="minorHAnsi" w:hAnsiTheme="minorHAnsi"/>
          <w:sz w:val="22"/>
          <w:szCs w:val="22"/>
          <w:lang w:val="en-GB"/>
        </w:rPr>
        <w:t xml:space="preserve">y for calculating each charge. </w:t>
      </w:r>
      <w:r w:rsidRPr="000A6B0A">
        <w:rPr>
          <w:rFonts w:asciiTheme="minorHAnsi" w:hAnsiTheme="minorHAnsi"/>
          <w:sz w:val="22"/>
          <w:szCs w:val="22"/>
          <w:lang w:val="en-GB"/>
        </w:rPr>
        <w:t>In addition, the ORR reviews the methodology and, for some work, appoints independent experts to subject the methodology to scrutiny and audit.</w:t>
      </w:r>
      <w:r w:rsidR="00560F6A" w:rsidRPr="000A6B0A">
        <w:rPr>
          <w:rFonts w:asciiTheme="minorHAnsi" w:hAnsiTheme="minorHAnsi"/>
          <w:sz w:val="22"/>
          <w:szCs w:val="22"/>
          <w:lang w:val="en-GB"/>
        </w:rPr>
        <w:t xml:space="preserve"> A consultation </w:t>
      </w:r>
      <w:r w:rsidR="00D57EB0">
        <w:rPr>
          <w:rFonts w:asciiTheme="minorHAnsi" w:hAnsiTheme="minorHAnsi"/>
          <w:sz w:val="22"/>
          <w:szCs w:val="22"/>
          <w:lang w:val="en-GB"/>
        </w:rPr>
        <w:t>on the charging</w:t>
      </w:r>
      <w:r w:rsidR="00560F6A" w:rsidRPr="000A6B0A">
        <w:rPr>
          <w:rFonts w:asciiTheme="minorHAnsi" w:hAnsiTheme="minorHAnsi"/>
          <w:sz w:val="22"/>
          <w:szCs w:val="22"/>
          <w:lang w:val="en-GB"/>
        </w:rPr>
        <w:t xml:space="preserve"> scheme and network statements</w:t>
      </w:r>
      <w:r w:rsidR="00495EEB">
        <w:rPr>
          <w:rFonts w:asciiTheme="minorHAnsi" w:hAnsiTheme="minorHAnsi"/>
          <w:sz w:val="22"/>
          <w:szCs w:val="22"/>
          <w:lang w:val="en-GB"/>
        </w:rPr>
        <w:t xml:space="preserve"> for the IMs</w:t>
      </w:r>
      <w:r w:rsidR="00560F6A" w:rsidRPr="000A6B0A">
        <w:rPr>
          <w:rFonts w:asciiTheme="minorHAnsi" w:hAnsiTheme="minorHAnsi"/>
          <w:sz w:val="22"/>
          <w:szCs w:val="22"/>
          <w:lang w:val="en-GB"/>
        </w:rPr>
        <w:t xml:space="preserve"> is required by law in Germany</w:t>
      </w:r>
      <w:r w:rsidR="00C34E0E">
        <w:rPr>
          <w:rFonts w:asciiTheme="minorHAnsi" w:hAnsiTheme="minorHAnsi"/>
          <w:sz w:val="22"/>
          <w:szCs w:val="22"/>
          <w:lang w:val="en-GB"/>
        </w:rPr>
        <w:t xml:space="preserve"> and in Portugal</w:t>
      </w:r>
      <w:r w:rsidR="00560F6A"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i/>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Costs model</w:t>
      </w:r>
    </w:p>
    <w:p w:rsidR="000D2D45" w:rsidRPr="000A6B0A" w:rsidRDefault="000D2D45" w:rsidP="000D2D45">
      <w:pPr>
        <w:spacing w:line="276" w:lineRule="auto"/>
        <w:jc w:val="both"/>
        <w:rPr>
          <w:rFonts w:asciiTheme="minorHAnsi" w:hAnsiTheme="minorHAnsi"/>
          <w:sz w:val="22"/>
          <w:szCs w:val="22"/>
          <w:lang w:val="en-GB"/>
        </w:rPr>
      </w:pPr>
    </w:p>
    <w:p w:rsidR="00420D3F" w:rsidRPr="000A6B0A" w:rsidRDefault="00420D3F" w:rsidP="00420D3F">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some IRG-Rail countries the regulatory body uses cost models to review the calculation of costs.</w:t>
      </w:r>
    </w:p>
    <w:p w:rsidR="00420D3F" w:rsidRPr="000A6B0A" w:rsidRDefault="00420D3F"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lastRenderedPageBreak/>
        <w:t xml:space="preserve">As stated before, the charging models are, in most countries, based on the principle of marginal cost pricing, although the methods by which the marginal cost is estimated varies between countries. </w:t>
      </w:r>
    </w:p>
    <w:p w:rsidR="000D2D45" w:rsidRPr="000A6B0A" w:rsidRDefault="000D2D45" w:rsidP="000D2D45">
      <w:pPr>
        <w:spacing w:line="276" w:lineRule="auto"/>
        <w:jc w:val="both"/>
        <w:rPr>
          <w:rFonts w:asciiTheme="minorHAnsi" w:hAnsiTheme="minorHAnsi"/>
          <w:sz w:val="22"/>
          <w:szCs w:val="22"/>
          <w:lang w:val="en-GB"/>
        </w:rPr>
      </w:pPr>
    </w:p>
    <w:p w:rsidR="000D2D45" w:rsidRPr="0086605D" w:rsidRDefault="00D63D94" w:rsidP="00D57EB0">
      <w:pPr>
        <w:spacing w:line="276" w:lineRule="auto"/>
        <w:jc w:val="both"/>
        <w:rPr>
          <w:rFonts w:ascii="Times New Roman" w:hAnsi="Times New Roman" w:cs="Times New Roman"/>
          <w:sz w:val="24"/>
          <w:szCs w:val="24"/>
          <w:lang w:val="en-US" w:eastAsia="fr-FR"/>
        </w:rPr>
      </w:pPr>
      <w:r w:rsidRPr="000A6B0A">
        <w:rPr>
          <w:rFonts w:asciiTheme="minorHAnsi" w:hAnsiTheme="minorHAnsi"/>
          <w:sz w:val="22"/>
          <w:szCs w:val="22"/>
          <w:lang w:val="en-GB"/>
        </w:rPr>
        <w:t>E</w:t>
      </w:r>
      <w:r w:rsidR="000D2D45" w:rsidRPr="000A6B0A">
        <w:rPr>
          <w:rFonts w:asciiTheme="minorHAnsi" w:hAnsiTheme="minorHAnsi"/>
          <w:sz w:val="22"/>
          <w:szCs w:val="22"/>
          <w:lang w:val="en-GB"/>
        </w:rPr>
        <w:t xml:space="preserve">conometric approaches are already implemented by some </w:t>
      </w:r>
      <w:r w:rsidR="009617E5" w:rsidRPr="000A6B0A">
        <w:rPr>
          <w:rFonts w:asciiTheme="minorHAnsi" w:hAnsiTheme="minorHAnsi"/>
          <w:sz w:val="22"/>
          <w:szCs w:val="22"/>
          <w:lang w:val="en-GB"/>
        </w:rPr>
        <w:t>IM</w:t>
      </w:r>
      <w:r w:rsidR="000D2D45" w:rsidRPr="000A6B0A">
        <w:rPr>
          <w:rFonts w:asciiTheme="minorHAnsi" w:hAnsiTheme="minorHAnsi"/>
          <w:sz w:val="22"/>
          <w:szCs w:val="22"/>
          <w:lang w:val="en-GB"/>
        </w:rPr>
        <w:t xml:space="preserve">s, as in Belgium, Finland, France, </w:t>
      </w:r>
      <w:r w:rsidR="000D2D45" w:rsidRPr="003B2158">
        <w:rPr>
          <w:rFonts w:asciiTheme="minorHAnsi" w:hAnsiTheme="minorHAnsi"/>
          <w:sz w:val="22"/>
          <w:szCs w:val="22"/>
          <w:lang w:val="en-GB"/>
        </w:rPr>
        <w:t>Netherlands</w:t>
      </w:r>
      <w:r w:rsidR="000D2D45" w:rsidRPr="000A6B0A">
        <w:rPr>
          <w:rFonts w:asciiTheme="minorHAnsi" w:hAnsiTheme="minorHAnsi"/>
          <w:sz w:val="22"/>
          <w:szCs w:val="22"/>
          <w:lang w:val="en-GB"/>
        </w:rPr>
        <w:t xml:space="preserve">, Norway </w:t>
      </w:r>
      <w:r w:rsidR="002D2310" w:rsidRPr="000A6B0A">
        <w:rPr>
          <w:rFonts w:asciiTheme="minorHAnsi" w:hAnsiTheme="minorHAnsi"/>
          <w:sz w:val="22"/>
          <w:szCs w:val="22"/>
          <w:lang w:val="en-GB"/>
        </w:rPr>
        <w:t xml:space="preserve">and </w:t>
      </w:r>
      <w:r w:rsidR="000D2D45" w:rsidRPr="000A6B0A">
        <w:rPr>
          <w:rFonts w:asciiTheme="minorHAnsi" w:hAnsiTheme="minorHAnsi"/>
          <w:sz w:val="22"/>
          <w:szCs w:val="22"/>
          <w:lang w:val="en-GB"/>
        </w:rPr>
        <w:t xml:space="preserve">Sweden. </w:t>
      </w:r>
      <w:r w:rsidR="00C047DE">
        <w:rPr>
          <w:rFonts w:asciiTheme="minorHAnsi" w:hAnsiTheme="minorHAnsi"/>
          <w:sz w:val="22"/>
          <w:szCs w:val="22"/>
          <w:lang w:val="en-GB"/>
        </w:rPr>
        <w:t>B</w:t>
      </w:r>
      <w:r w:rsidR="000D2D45" w:rsidRPr="000A6B0A">
        <w:rPr>
          <w:rFonts w:asciiTheme="minorHAnsi" w:hAnsiTheme="minorHAnsi"/>
          <w:sz w:val="22"/>
          <w:szCs w:val="22"/>
          <w:lang w:val="en-GB"/>
        </w:rPr>
        <w:t xml:space="preserve">ottom-up engineering methods </w:t>
      </w:r>
      <w:r w:rsidR="00C047DE">
        <w:rPr>
          <w:rFonts w:asciiTheme="minorHAnsi" w:hAnsiTheme="minorHAnsi"/>
          <w:sz w:val="22"/>
          <w:szCs w:val="22"/>
          <w:lang w:val="en-GB"/>
        </w:rPr>
        <w:t>are also used</w:t>
      </w:r>
      <w:r w:rsidR="000D2D45" w:rsidRPr="000A6B0A">
        <w:rPr>
          <w:rFonts w:asciiTheme="minorHAnsi" w:hAnsiTheme="minorHAnsi"/>
          <w:sz w:val="22"/>
          <w:szCs w:val="22"/>
          <w:lang w:val="en-GB"/>
        </w:rPr>
        <w:t>, as they are also able to provide robust estimates of direct costs</w:t>
      </w:r>
      <w:r w:rsidR="009677F2" w:rsidRPr="000A6B0A">
        <w:rPr>
          <w:rFonts w:asciiTheme="minorHAnsi" w:hAnsiTheme="minorHAnsi"/>
          <w:sz w:val="22"/>
          <w:szCs w:val="22"/>
          <w:lang w:val="en-GB"/>
        </w:rPr>
        <w:t>. An engineering method is implemented in Austria</w:t>
      </w:r>
      <w:r w:rsidR="000D2D45" w:rsidRPr="000A6B0A">
        <w:rPr>
          <w:rFonts w:asciiTheme="minorHAnsi" w:hAnsiTheme="minorHAnsi"/>
          <w:sz w:val="22"/>
          <w:szCs w:val="22"/>
          <w:lang w:val="en-GB"/>
        </w:rPr>
        <w:t xml:space="preserve">. French, </w:t>
      </w:r>
      <w:r w:rsidR="000D2D45" w:rsidRPr="003B2158">
        <w:rPr>
          <w:rFonts w:asciiTheme="minorHAnsi" w:hAnsiTheme="minorHAnsi"/>
          <w:sz w:val="22"/>
          <w:szCs w:val="22"/>
          <w:lang w:val="en-GB"/>
        </w:rPr>
        <w:t>Dutch</w:t>
      </w:r>
      <w:r w:rsidR="000D2D45" w:rsidRPr="000A6B0A">
        <w:rPr>
          <w:rFonts w:asciiTheme="minorHAnsi" w:hAnsiTheme="minorHAnsi"/>
          <w:sz w:val="22"/>
          <w:szCs w:val="22"/>
          <w:lang w:val="en-GB"/>
        </w:rPr>
        <w:t xml:space="preserve">, </w:t>
      </w:r>
      <w:r w:rsidR="00A52F7D" w:rsidRPr="000A6B0A">
        <w:rPr>
          <w:rFonts w:asciiTheme="minorHAnsi" w:hAnsiTheme="minorHAnsi"/>
          <w:sz w:val="22"/>
          <w:szCs w:val="22"/>
          <w:lang w:val="en-GB"/>
        </w:rPr>
        <w:t xml:space="preserve">Swiss </w:t>
      </w:r>
      <w:r w:rsidR="000D2D45" w:rsidRPr="000A6B0A">
        <w:rPr>
          <w:rFonts w:asciiTheme="minorHAnsi" w:hAnsiTheme="minorHAnsi"/>
          <w:sz w:val="22"/>
          <w:szCs w:val="22"/>
          <w:lang w:val="en-GB"/>
        </w:rPr>
        <w:t xml:space="preserve">and </w:t>
      </w:r>
      <w:r w:rsidR="00603222" w:rsidRPr="000A6B0A">
        <w:rPr>
          <w:rFonts w:asciiTheme="minorHAnsi" w:hAnsiTheme="minorHAnsi"/>
          <w:sz w:val="22"/>
          <w:szCs w:val="22"/>
          <w:lang w:val="en-GB"/>
        </w:rPr>
        <w:t>UK</w:t>
      </w:r>
      <w:r w:rsidR="000D2D45" w:rsidRPr="000A6B0A">
        <w:rPr>
          <w:rFonts w:asciiTheme="minorHAnsi" w:hAnsiTheme="minorHAnsi"/>
          <w:sz w:val="22"/>
          <w:szCs w:val="22"/>
          <w:lang w:val="en-GB"/>
        </w:rPr>
        <w:t xml:space="preserve"> </w:t>
      </w:r>
      <w:r w:rsidR="009617E5" w:rsidRPr="000A6B0A">
        <w:rPr>
          <w:rFonts w:asciiTheme="minorHAnsi" w:hAnsiTheme="minorHAnsi"/>
          <w:sz w:val="22"/>
          <w:szCs w:val="22"/>
          <w:lang w:val="en-GB"/>
        </w:rPr>
        <w:t>IM</w:t>
      </w:r>
      <w:r w:rsidR="000D2D45" w:rsidRPr="000A6B0A">
        <w:rPr>
          <w:rFonts w:asciiTheme="minorHAnsi" w:hAnsiTheme="minorHAnsi"/>
          <w:sz w:val="22"/>
          <w:szCs w:val="22"/>
          <w:lang w:val="en-GB"/>
        </w:rPr>
        <w:t xml:space="preserve">s already resort to such engineering and modelling calculations. Beyond that, the Swedish Transport </w:t>
      </w:r>
      <w:r w:rsidR="00F45F05">
        <w:rPr>
          <w:rFonts w:asciiTheme="minorHAnsi" w:hAnsiTheme="minorHAnsi"/>
          <w:sz w:val="22"/>
          <w:szCs w:val="22"/>
          <w:lang w:val="en-GB"/>
        </w:rPr>
        <w:t>Administration (Trafikverket)</w:t>
      </w:r>
      <w:r w:rsidR="000D2D45" w:rsidRPr="000A6B0A">
        <w:rPr>
          <w:rFonts w:asciiTheme="minorHAnsi" w:hAnsiTheme="minorHAnsi"/>
          <w:sz w:val="22"/>
          <w:szCs w:val="22"/>
          <w:lang w:val="en-GB"/>
        </w:rPr>
        <w:t xml:space="preserve"> and the ORR have developed and implemented their own top-down econometric models (and bottom-up ones for the ORR)</w:t>
      </w:r>
      <w:r w:rsidR="00D57EB0">
        <w:rPr>
          <w:rStyle w:val="Appelnotedebasdep"/>
          <w:rFonts w:asciiTheme="minorHAnsi" w:hAnsiTheme="minorHAnsi"/>
          <w:sz w:val="22"/>
          <w:szCs w:val="22"/>
          <w:lang w:val="en-GB"/>
        </w:rPr>
        <w:footnoteReference w:id="69"/>
      </w:r>
      <w:r w:rsidR="00D57EB0" w:rsidRPr="0086605D">
        <w:rPr>
          <w:rFonts w:ascii="Times New Roman" w:hAnsi="Times New Roman" w:cs="Times New Roman"/>
          <w:sz w:val="24"/>
          <w:szCs w:val="24"/>
          <w:lang w:val="en-US" w:eastAsia="fr-FR"/>
        </w:rPr>
        <w:t xml:space="preserve"> </w:t>
      </w:r>
      <w:r w:rsidR="000D2D45" w:rsidRPr="000A6B0A">
        <w:rPr>
          <w:rFonts w:asciiTheme="minorHAnsi" w:hAnsiTheme="minorHAnsi"/>
          <w:sz w:val="22"/>
          <w:szCs w:val="22"/>
          <w:lang w:val="en-GB"/>
        </w:rPr>
        <w:t>.</w:t>
      </w:r>
      <w:r w:rsidR="00B5756A" w:rsidRPr="000A6B0A">
        <w:rPr>
          <w:rFonts w:asciiTheme="minorHAnsi" w:hAnsiTheme="minorHAnsi"/>
          <w:sz w:val="22"/>
          <w:szCs w:val="22"/>
          <w:lang w:val="en-GB"/>
        </w:rPr>
        <w:t xml:space="preserve"> In Italy, a mixed approach has been recently chosen. Once determined the full (efficient) cost of providing the service of access to the railway network, </w:t>
      </w:r>
      <w:r w:rsidR="00C047DE">
        <w:rPr>
          <w:rFonts w:asciiTheme="minorHAnsi" w:hAnsiTheme="minorHAnsi"/>
          <w:sz w:val="22"/>
          <w:szCs w:val="22"/>
          <w:lang w:val="en-GB"/>
        </w:rPr>
        <w:t xml:space="preserve">the IM must exclude </w:t>
      </w:r>
      <w:r w:rsidR="00B5756A" w:rsidRPr="000A6B0A">
        <w:rPr>
          <w:rFonts w:asciiTheme="minorHAnsi" w:hAnsiTheme="minorHAnsi"/>
          <w:sz w:val="22"/>
          <w:szCs w:val="22"/>
          <w:lang w:val="en-GB"/>
        </w:rPr>
        <w:t>all non-admissible costs, as identified by Regulation 909/</w:t>
      </w:r>
      <w:r w:rsidR="00495EEB">
        <w:rPr>
          <w:rFonts w:asciiTheme="minorHAnsi" w:hAnsiTheme="minorHAnsi"/>
          <w:sz w:val="22"/>
          <w:szCs w:val="22"/>
          <w:lang w:val="en-GB"/>
        </w:rPr>
        <w:t>2</w:t>
      </w:r>
      <w:r w:rsidR="00495EEB" w:rsidRPr="000A6B0A">
        <w:rPr>
          <w:rFonts w:asciiTheme="minorHAnsi" w:hAnsiTheme="minorHAnsi"/>
          <w:sz w:val="22"/>
          <w:szCs w:val="22"/>
          <w:lang w:val="en-GB"/>
        </w:rPr>
        <w:t>015</w:t>
      </w:r>
      <w:r w:rsidR="00B5756A" w:rsidRPr="000A6B0A">
        <w:rPr>
          <w:rFonts w:asciiTheme="minorHAnsi" w:hAnsiTheme="minorHAnsi"/>
          <w:sz w:val="22"/>
          <w:szCs w:val="22"/>
          <w:lang w:val="en-GB"/>
        </w:rPr>
        <w:t>, in order to identify the total direct costs (following a top-down approach) while the determination of the component of access charges related to direct costs associated to a specific request of track is computed on the basis of technical parameters such as mass, speed and contact wire that characterize the specific operator request (following a bottom-up methodology).</w:t>
      </w:r>
      <w:r w:rsidR="00C34E0E" w:rsidRPr="00C34E0E">
        <w:rPr>
          <w:rFonts w:asciiTheme="minorHAnsi" w:hAnsiTheme="minorHAnsi"/>
          <w:sz w:val="22"/>
          <w:szCs w:val="22"/>
          <w:lang w:val="en-GB"/>
        </w:rPr>
        <w:t xml:space="preserve"> </w:t>
      </w:r>
      <w:r w:rsidR="00C34E0E">
        <w:rPr>
          <w:rFonts w:asciiTheme="minorHAnsi" w:hAnsiTheme="minorHAnsi"/>
          <w:sz w:val="22"/>
          <w:szCs w:val="22"/>
          <w:lang w:val="en-GB"/>
        </w:rPr>
        <w:t>In Portugal, the IM uses a cost model to compute direct costs. However, this cost model has been developed under Regulation IMTT 630/</w:t>
      </w:r>
      <w:r w:rsidR="00C047DE">
        <w:rPr>
          <w:rFonts w:asciiTheme="minorHAnsi" w:hAnsiTheme="minorHAnsi"/>
          <w:sz w:val="22"/>
          <w:szCs w:val="22"/>
          <w:lang w:val="en-GB"/>
        </w:rPr>
        <w:t>2011 that</w:t>
      </w:r>
      <w:r w:rsidR="00C34E0E">
        <w:rPr>
          <w:rFonts w:asciiTheme="minorHAnsi" w:hAnsiTheme="minorHAnsi"/>
          <w:sz w:val="22"/>
          <w:szCs w:val="22"/>
          <w:lang w:val="en-GB"/>
        </w:rPr>
        <w:t xml:space="preserve"> was issued under legal provisions that are not in force anymore. As stated before, que charging model is being revised by the IM and is expected a new one in a near future.</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8"/>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Costs drivers</w:t>
      </w:r>
    </w:p>
    <w:p w:rsidR="000D2D45" w:rsidRPr="000A6B0A" w:rsidRDefault="000D2D45" w:rsidP="000D2D45">
      <w:pPr>
        <w:spacing w:line="276" w:lineRule="auto"/>
        <w:jc w:val="both"/>
        <w:rPr>
          <w:rFonts w:asciiTheme="minorHAnsi" w:hAnsiTheme="minorHAnsi"/>
          <w:sz w:val="22"/>
          <w:szCs w:val="22"/>
          <w:lang w:val="en-GB"/>
        </w:rPr>
      </w:pPr>
    </w:p>
    <w:p w:rsidR="00603222" w:rsidRPr="000A6B0A" w:rsidRDefault="00420D3F"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their review of charging principles </w:t>
      </w:r>
      <w:r w:rsidR="00771B6E" w:rsidRPr="000A6B0A">
        <w:rPr>
          <w:rFonts w:asciiTheme="minorHAnsi" w:hAnsiTheme="minorHAnsi"/>
          <w:sz w:val="22"/>
          <w:szCs w:val="22"/>
          <w:lang w:val="en-GB"/>
        </w:rPr>
        <w:t xml:space="preserve">most </w:t>
      </w:r>
      <w:r w:rsidRPr="000A6B0A">
        <w:rPr>
          <w:rFonts w:asciiTheme="minorHAnsi" w:hAnsiTheme="minorHAnsi"/>
          <w:sz w:val="22"/>
          <w:szCs w:val="22"/>
          <w:lang w:val="en-GB"/>
        </w:rPr>
        <w:t xml:space="preserve">regulatory bodies consider cost drivers. </w:t>
      </w:r>
      <w:r w:rsidR="00603222" w:rsidRPr="000A6B0A">
        <w:rPr>
          <w:rFonts w:asciiTheme="minorHAnsi" w:hAnsiTheme="minorHAnsi"/>
          <w:sz w:val="22"/>
          <w:szCs w:val="22"/>
          <w:lang w:val="en-GB"/>
        </w:rPr>
        <w:t>Most regulatory bodies interpret the cost directly incurred as a short-run marginal cost that should include operating costs (</w:t>
      </w:r>
      <w:r w:rsidR="00603222" w:rsidRPr="000A6B0A">
        <w:rPr>
          <w:rFonts w:asciiTheme="minorHAnsi" w:hAnsiTheme="minorHAnsi"/>
          <w:i/>
          <w:sz w:val="22"/>
          <w:szCs w:val="22"/>
          <w:lang w:val="en-GB"/>
        </w:rPr>
        <w:t>e.g.</w:t>
      </w:r>
      <w:r w:rsidR="00603222" w:rsidRPr="000A6B0A">
        <w:rPr>
          <w:rFonts w:asciiTheme="minorHAnsi" w:hAnsiTheme="minorHAnsi"/>
          <w:sz w:val="22"/>
          <w:szCs w:val="22"/>
          <w:lang w:val="en-GB"/>
        </w:rPr>
        <w:t xml:space="preserve"> </w:t>
      </w:r>
      <w:r w:rsidR="000A6B0A" w:rsidRPr="000A6B0A">
        <w:rPr>
          <w:rFonts w:asciiTheme="minorHAnsi" w:hAnsiTheme="minorHAnsi"/>
          <w:sz w:val="22"/>
          <w:szCs w:val="22"/>
          <w:lang w:val="en-GB"/>
        </w:rPr>
        <w:t>signalling</w:t>
      </w:r>
      <w:r w:rsidR="00603222" w:rsidRPr="000A6B0A">
        <w:rPr>
          <w:rFonts w:asciiTheme="minorHAnsi" w:hAnsiTheme="minorHAnsi"/>
          <w:sz w:val="22"/>
          <w:szCs w:val="22"/>
          <w:lang w:val="en-GB"/>
        </w:rPr>
        <w:t>), maintenance costs (</w:t>
      </w:r>
      <w:r w:rsidR="00603222" w:rsidRPr="000A6B0A">
        <w:rPr>
          <w:rFonts w:asciiTheme="minorHAnsi" w:hAnsiTheme="minorHAnsi"/>
          <w:i/>
          <w:sz w:val="22"/>
          <w:szCs w:val="22"/>
          <w:lang w:val="en-GB"/>
        </w:rPr>
        <w:t>e.g.</w:t>
      </w:r>
      <w:r w:rsidR="00603222" w:rsidRPr="000A6B0A">
        <w:rPr>
          <w:rFonts w:asciiTheme="minorHAnsi" w:hAnsiTheme="minorHAnsi"/>
          <w:sz w:val="22"/>
          <w:szCs w:val="22"/>
          <w:lang w:val="en-GB"/>
        </w:rPr>
        <w:t xml:space="preserve"> </w:t>
      </w:r>
      <w:r w:rsidR="00603222" w:rsidRPr="000A6B0A">
        <w:rPr>
          <w:rFonts w:asciiTheme="minorHAnsi" w:hAnsiTheme="minorHAnsi"/>
          <w:i/>
          <w:sz w:val="22"/>
          <w:szCs w:val="22"/>
          <w:lang w:val="en-GB"/>
        </w:rPr>
        <w:t>wear and tear</w:t>
      </w:r>
      <w:r w:rsidR="00603222" w:rsidRPr="000A6B0A">
        <w:rPr>
          <w:rFonts w:asciiTheme="minorHAnsi" w:hAnsiTheme="minorHAnsi"/>
          <w:sz w:val="22"/>
          <w:szCs w:val="22"/>
          <w:lang w:val="en-GB"/>
        </w:rPr>
        <w:t xml:space="preserve"> </w:t>
      </w:r>
      <w:r w:rsidR="00603222" w:rsidRPr="000A6B0A">
        <w:rPr>
          <w:rFonts w:asciiTheme="minorHAnsi" w:hAnsiTheme="minorHAnsi"/>
          <w:i/>
          <w:sz w:val="22"/>
          <w:szCs w:val="22"/>
          <w:lang w:val="en-GB"/>
        </w:rPr>
        <w:t>costs</w:t>
      </w:r>
      <w:r w:rsidR="00603222" w:rsidRPr="000A6B0A">
        <w:rPr>
          <w:rFonts w:asciiTheme="minorHAnsi" w:hAnsiTheme="minorHAnsi"/>
          <w:sz w:val="22"/>
          <w:szCs w:val="22"/>
          <w:lang w:val="en-GB"/>
        </w:rPr>
        <w:t>), and renewal costs. IRG-Rail members consider that examples of costs that are not costs directly incurred may be the cost of capital.</w:t>
      </w:r>
    </w:p>
    <w:p w:rsidR="00603222" w:rsidRPr="000A6B0A" w:rsidRDefault="00603222" w:rsidP="00603222">
      <w:pPr>
        <w:spacing w:line="276" w:lineRule="auto"/>
        <w:jc w:val="both"/>
        <w:rPr>
          <w:rFonts w:asciiTheme="minorHAnsi" w:hAnsiTheme="minorHAnsi"/>
          <w:sz w:val="22"/>
          <w:szCs w:val="22"/>
          <w:lang w:val="en-GB"/>
        </w:rPr>
      </w:pPr>
    </w:p>
    <w:p w:rsidR="00603222" w:rsidRDefault="00603222"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For most </w:t>
      </w:r>
      <w:r w:rsidR="00B5756A" w:rsidRPr="000A6B0A">
        <w:rPr>
          <w:rFonts w:asciiTheme="minorHAnsi" w:hAnsiTheme="minorHAnsi"/>
          <w:sz w:val="22"/>
          <w:szCs w:val="22"/>
          <w:lang w:val="en-GB"/>
        </w:rPr>
        <w:t>Member States</w:t>
      </w:r>
      <w:r w:rsidRPr="000A6B0A">
        <w:rPr>
          <w:rFonts w:asciiTheme="minorHAnsi" w:hAnsiTheme="minorHAnsi"/>
          <w:sz w:val="22"/>
          <w:szCs w:val="22"/>
          <w:lang w:val="en-GB"/>
        </w:rPr>
        <w:t>, marginal cost based charges are only differentiated by freight and passenger traffic</w:t>
      </w:r>
      <w:r w:rsidR="00B5756A" w:rsidRPr="000A6B0A">
        <w:rPr>
          <w:rStyle w:val="Appelnotedebasdep"/>
          <w:rFonts w:asciiTheme="minorHAnsi" w:hAnsiTheme="minorHAnsi"/>
          <w:sz w:val="22"/>
          <w:szCs w:val="22"/>
          <w:lang w:val="en-GB"/>
        </w:rPr>
        <w:footnoteReference w:id="70"/>
      </w:r>
      <w:r w:rsidRPr="000A6B0A">
        <w:rPr>
          <w:rFonts w:asciiTheme="minorHAnsi" w:hAnsiTheme="minorHAnsi"/>
          <w:sz w:val="22"/>
          <w:szCs w:val="22"/>
          <w:lang w:val="en-GB"/>
        </w:rPr>
        <w:t>. Essentially, they are not broken down into smaller market segments. In general, direct costs charges do not vary by</w:t>
      </w:r>
      <w:r w:rsidR="00B5756A" w:rsidRPr="000A6B0A">
        <w:rPr>
          <w:rFonts w:asciiTheme="minorHAnsi" w:hAnsiTheme="minorHAnsi"/>
          <w:sz w:val="22"/>
          <w:szCs w:val="22"/>
          <w:lang w:val="en-GB"/>
        </w:rPr>
        <w:t xml:space="preserve"> other</w:t>
      </w:r>
      <w:r w:rsidRPr="000A6B0A">
        <w:rPr>
          <w:rFonts w:asciiTheme="minorHAnsi" w:hAnsiTheme="minorHAnsi"/>
          <w:sz w:val="22"/>
          <w:szCs w:val="22"/>
          <w:lang w:val="en-GB"/>
        </w:rPr>
        <w:t xml:space="preserve"> market segment</w:t>
      </w:r>
      <w:r w:rsidR="00B5756A" w:rsidRPr="000A6B0A">
        <w:rPr>
          <w:rFonts w:asciiTheme="minorHAnsi" w:hAnsiTheme="minorHAnsi"/>
          <w:sz w:val="22"/>
          <w:szCs w:val="22"/>
          <w:lang w:val="en-GB"/>
        </w:rPr>
        <w:t>s</w:t>
      </w:r>
      <w:r w:rsidRPr="000A6B0A">
        <w:rPr>
          <w:rFonts w:asciiTheme="minorHAnsi" w:hAnsiTheme="minorHAnsi"/>
          <w:sz w:val="22"/>
          <w:szCs w:val="22"/>
          <w:lang w:val="en-GB"/>
        </w:rPr>
        <w:t xml:space="preserve">. </w:t>
      </w:r>
    </w:p>
    <w:p w:rsidR="00D70DA5" w:rsidRDefault="00D70DA5" w:rsidP="00603222">
      <w:pPr>
        <w:spacing w:line="276" w:lineRule="auto"/>
        <w:jc w:val="both"/>
        <w:rPr>
          <w:rFonts w:asciiTheme="minorHAnsi" w:hAnsiTheme="minorHAnsi"/>
          <w:sz w:val="22"/>
          <w:szCs w:val="22"/>
          <w:lang w:val="en-GB"/>
        </w:rPr>
      </w:pPr>
    </w:p>
    <w:p w:rsidR="00D70DA5" w:rsidRDefault="00D70DA5" w:rsidP="00D70DA5">
      <w:pPr>
        <w:pStyle w:val="Paragraphedeliste"/>
        <w:numPr>
          <w:ilvl w:val="0"/>
          <w:numId w:val="18"/>
        </w:numPr>
        <w:spacing w:line="276" w:lineRule="auto"/>
        <w:jc w:val="both"/>
        <w:rPr>
          <w:rFonts w:asciiTheme="minorHAnsi" w:hAnsiTheme="minorHAnsi"/>
          <w:i/>
          <w:noProof/>
          <w:sz w:val="22"/>
          <w:szCs w:val="22"/>
          <w:lang w:val="en-GB"/>
        </w:rPr>
      </w:pPr>
      <w:r>
        <w:rPr>
          <w:rFonts w:asciiTheme="minorHAnsi" w:hAnsiTheme="minorHAnsi"/>
          <w:i/>
          <w:noProof/>
          <w:sz w:val="22"/>
          <w:szCs w:val="22"/>
          <w:lang w:val="en-GB"/>
        </w:rPr>
        <w:t>Overview table for charging principles and cost model</w:t>
      </w:r>
    </w:p>
    <w:p w:rsidR="00D70DA5" w:rsidRDefault="00D70DA5" w:rsidP="00D70DA5">
      <w:pPr>
        <w:spacing w:line="276" w:lineRule="auto"/>
        <w:jc w:val="both"/>
        <w:rPr>
          <w:rFonts w:asciiTheme="minorHAnsi" w:hAnsiTheme="minorHAnsi"/>
          <w:i/>
          <w:noProof/>
          <w:sz w:val="22"/>
          <w:szCs w:val="22"/>
          <w:lang w:val="en-GB"/>
        </w:rPr>
        <w:sectPr w:rsidR="00D70DA5" w:rsidSect="00D70DA5">
          <w:pgSz w:w="11907" w:h="16839"/>
          <w:pgMar w:top="1258" w:right="1287" w:bottom="1008" w:left="1800" w:header="708" w:footer="708" w:gutter="0"/>
          <w:cols w:space="708"/>
          <w:docGrid w:linePitch="360"/>
        </w:sectPr>
      </w:pPr>
    </w:p>
    <w:tbl>
      <w:tblPr>
        <w:tblW w:w="12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027"/>
        <w:gridCol w:w="978"/>
        <w:gridCol w:w="1183"/>
        <w:gridCol w:w="947"/>
        <w:gridCol w:w="1115"/>
        <w:gridCol w:w="889"/>
        <w:gridCol w:w="792"/>
        <w:gridCol w:w="1381"/>
        <w:gridCol w:w="1130"/>
        <w:gridCol w:w="850"/>
        <w:gridCol w:w="905"/>
      </w:tblGrid>
      <w:tr w:rsidR="00D70DA5" w:rsidRPr="00C54CEB" w:rsidTr="00F76A2F">
        <w:trPr>
          <w:trHeight w:val="127"/>
          <w:tblHeader/>
          <w:jc w:val="center"/>
        </w:trPr>
        <w:tc>
          <w:tcPr>
            <w:tcW w:w="1227"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3137" w:type="dxa"/>
            <w:gridSpan w:val="3"/>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Methodology to calculate direct costs (art. 31.3)</w:t>
            </w:r>
          </w:p>
        </w:tc>
        <w:tc>
          <w:tcPr>
            <w:tcW w:w="3759" w:type="dxa"/>
            <w:gridSpan w:val="4"/>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Costs considered to calculate of direct costs (art. 31.3)</w:t>
            </w:r>
          </w:p>
        </w:tc>
        <w:tc>
          <w:tcPr>
            <w:tcW w:w="1401"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Efficient costs</w:t>
            </w:r>
            <w:r>
              <w:rPr>
                <w:rStyle w:val="Appelnotedebasdep"/>
                <w:rFonts w:ascii="Calibri" w:hAnsi="Calibri"/>
                <w:color w:val="FFFFFF"/>
                <w:sz w:val="16"/>
                <w:lang w:val="en-GB"/>
              </w:rPr>
              <w:footnoteReference w:id="71"/>
            </w:r>
            <w:r>
              <w:rPr>
                <w:rFonts w:ascii="Calibri" w:hAnsi="Calibri" w:cs="Calibri"/>
                <w:b/>
                <w:color w:val="FFFFFF"/>
                <w:sz w:val="16"/>
                <w:lang w:val="en-GB"/>
              </w:rPr>
              <w:t xml:space="preserve"> taken into account in calculation of direct costs (art. 31.3)</w:t>
            </w:r>
          </w:p>
        </w:tc>
        <w:tc>
          <w:tcPr>
            <w:tcW w:w="1132"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Review of methodology to calculate direct costs (art. 31.3) by RB</w:t>
            </w:r>
          </w:p>
        </w:tc>
        <w:tc>
          <w:tcPr>
            <w:tcW w:w="1769" w:type="dxa"/>
            <w:gridSpan w:val="2"/>
            <w:shd w:val="pct50" w:color="auto" w:fill="auto"/>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Review of  methodology to determine market segments and mark-ups (art. 32.1) by RB</w:t>
            </w:r>
          </w:p>
        </w:tc>
      </w:tr>
      <w:tr w:rsidR="00D70DA5" w:rsidRPr="000A6B0A" w:rsidTr="00F76A2F">
        <w:trPr>
          <w:trHeight w:val="56"/>
          <w:tblHeader/>
          <w:jc w:val="center"/>
        </w:trPr>
        <w:tc>
          <w:tcPr>
            <w:tcW w:w="1227"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027"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Econometric</w:t>
            </w:r>
          </w:p>
        </w:tc>
        <w:tc>
          <w:tcPr>
            <w:tcW w:w="978"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Engineering</w:t>
            </w:r>
          </w:p>
        </w:tc>
        <w:tc>
          <w:tcPr>
            <w:tcW w:w="1132"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Difference methodology</w:t>
            </w:r>
            <w:r>
              <w:rPr>
                <w:rStyle w:val="Appelnotedebasdep"/>
                <w:rFonts w:ascii="Calibri" w:hAnsi="Calibri"/>
                <w:color w:val="FFFFFF"/>
                <w:sz w:val="16"/>
                <w:lang w:val="en-GB"/>
              </w:rPr>
              <w:footnoteReference w:id="72"/>
            </w:r>
          </w:p>
        </w:tc>
        <w:tc>
          <w:tcPr>
            <w:tcW w:w="950" w:type="dxa"/>
            <w:shd w:val="pct50" w:color="auto" w:fill="auto"/>
            <w:vAlign w:val="center"/>
          </w:tcPr>
          <w:p w:rsidR="00D70DA5" w:rsidRDefault="00D70DA5" w:rsidP="0086605D">
            <w:pPr>
              <w:pStyle w:val="Tabellenkopf"/>
              <w:spacing w:before="0" w:after="0"/>
              <w:rPr>
                <w:rFonts w:ascii="Calibri" w:hAnsi="Calibri" w:cs="Calibri"/>
                <w:b/>
                <w:color w:val="FFFFFF"/>
                <w:sz w:val="16"/>
                <w:lang w:val="en-GB"/>
              </w:rPr>
            </w:pPr>
            <w:r>
              <w:rPr>
                <w:rFonts w:ascii="Calibri" w:hAnsi="Calibri" w:cs="Calibri"/>
                <w:b/>
                <w:color w:val="FFFFFF"/>
                <w:sz w:val="16"/>
                <w:lang w:val="en-GB"/>
              </w:rPr>
              <w:t>Operation</w:t>
            </w:r>
          </w:p>
        </w:tc>
        <w:tc>
          <w:tcPr>
            <w:tcW w:w="1117" w:type="dxa"/>
            <w:shd w:val="pct50" w:color="auto" w:fill="auto"/>
            <w:vAlign w:val="center"/>
          </w:tcPr>
          <w:p w:rsidR="00D70DA5" w:rsidRDefault="00D70DA5" w:rsidP="0086605D">
            <w:pPr>
              <w:pStyle w:val="Tabellenkopf"/>
              <w:spacing w:before="0" w:after="0"/>
              <w:rPr>
                <w:rFonts w:ascii="Calibri" w:hAnsi="Calibri" w:cs="Calibri"/>
                <w:b/>
                <w:color w:val="FFFFFF"/>
                <w:sz w:val="16"/>
                <w:lang w:val="en-GB"/>
              </w:rPr>
            </w:pPr>
            <w:r>
              <w:rPr>
                <w:rFonts w:ascii="Calibri" w:hAnsi="Calibri" w:cs="Calibri"/>
                <w:b/>
                <w:color w:val="FFFFFF"/>
                <w:sz w:val="16"/>
                <w:lang w:val="en-GB"/>
              </w:rPr>
              <w:t>Maintenance</w:t>
            </w:r>
          </w:p>
        </w:tc>
        <w:tc>
          <w:tcPr>
            <w:tcW w:w="894" w:type="dxa"/>
            <w:shd w:val="pct50" w:color="auto" w:fill="auto"/>
            <w:vAlign w:val="center"/>
          </w:tcPr>
          <w:p w:rsidR="00D70DA5" w:rsidRDefault="00D70DA5" w:rsidP="0086605D">
            <w:pPr>
              <w:pStyle w:val="Tabellenkopf"/>
              <w:spacing w:before="0" w:after="0"/>
              <w:rPr>
                <w:rFonts w:ascii="Calibri" w:hAnsi="Calibri" w:cs="Calibri"/>
                <w:b/>
                <w:color w:val="FFFFFF"/>
                <w:sz w:val="16"/>
                <w:lang w:val="en-GB"/>
              </w:rPr>
            </w:pPr>
            <w:r>
              <w:rPr>
                <w:rFonts w:ascii="Calibri" w:hAnsi="Calibri" w:cs="Calibri"/>
                <w:b/>
                <w:color w:val="FFFFFF"/>
                <w:sz w:val="16"/>
                <w:lang w:val="en-GB"/>
              </w:rPr>
              <w:t>Renewal</w:t>
            </w:r>
          </w:p>
        </w:tc>
        <w:tc>
          <w:tcPr>
            <w:tcW w:w="798"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Cost of capital</w:t>
            </w:r>
          </w:p>
        </w:tc>
        <w:tc>
          <w:tcPr>
            <w:tcW w:w="1401"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132" w:type="dxa"/>
            <w:vMerge/>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p>
        </w:tc>
        <w:tc>
          <w:tcPr>
            <w:tcW w:w="851"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Market segments</w:t>
            </w:r>
          </w:p>
        </w:tc>
        <w:tc>
          <w:tcPr>
            <w:tcW w:w="918"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Mark-ups</w:t>
            </w:r>
          </w:p>
        </w:tc>
      </w:tr>
      <w:tr w:rsidR="00D70DA5" w:rsidRPr="000A6B0A" w:rsidTr="00F76A2F">
        <w:trPr>
          <w:trHeight w:val="99"/>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tcPr>
          <w:p w:rsidR="00D70DA5" w:rsidRPr="000A6B0A" w:rsidRDefault="00D70DA5">
            <w:pPr>
              <w:jc w:val="center"/>
              <w:rPr>
                <w:rFonts w:ascii="Wingdings 2" w:hAnsi="Wingdings 2"/>
                <w:b/>
                <w:color w:val="008000"/>
                <w:sz w:val="28"/>
                <w:szCs w:val="28"/>
                <w:lang w:val="en-GB"/>
              </w:rPr>
            </w:pPr>
          </w:p>
        </w:tc>
        <w:tc>
          <w:tcPr>
            <w:tcW w:w="1117" w:type="dxa"/>
            <w:shd w:val="clear" w:color="auto" w:fill="D9D9D9" w:themeFill="background1" w:themeFillShade="D9"/>
          </w:tcPr>
          <w:p w:rsidR="00D70DA5" w:rsidRPr="000A6B0A" w:rsidRDefault="00D70DA5">
            <w:pPr>
              <w:jc w:val="center"/>
              <w:rPr>
                <w:rFonts w:ascii="Wingdings 2" w:hAnsi="Wingdings 2"/>
                <w:b/>
                <w:color w:val="008000"/>
                <w:sz w:val="28"/>
                <w:szCs w:val="28"/>
                <w:lang w:val="en-GB"/>
              </w:rPr>
            </w:pPr>
          </w:p>
        </w:tc>
        <w:tc>
          <w:tcPr>
            <w:tcW w:w="894" w:type="dxa"/>
            <w:shd w:val="clear" w:color="auto" w:fill="D9D9D9" w:themeFill="background1" w:themeFillShade="D9"/>
          </w:tcPr>
          <w:p w:rsidR="00D70DA5" w:rsidRPr="000A6B0A" w:rsidRDefault="00D70DA5">
            <w:pPr>
              <w:jc w:val="center"/>
              <w:rPr>
                <w:rFonts w:ascii="Wingdings 2" w:hAnsi="Wingdings 2"/>
                <w:b/>
                <w:color w:val="008000"/>
                <w:sz w:val="28"/>
                <w:szCs w:val="28"/>
                <w:lang w:val="en-GB"/>
              </w:rPr>
            </w:pP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1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p>
        </w:tc>
        <w:tc>
          <w:tcPr>
            <w:tcW w:w="1132" w:type="dxa"/>
            <w:shd w:val="clear" w:color="auto" w:fill="D9D9D9" w:themeFill="background1" w:themeFillShade="D9"/>
          </w:tcPr>
          <w:p w:rsidR="00D70DA5" w:rsidRPr="000A6B0A" w:rsidRDefault="00D70DA5">
            <w:pPr>
              <w:jc w:val="center"/>
              <w:rPr>
                <w:rFonts w:ascii="Wingdings 2" w:hAnsi="Wingdings 2"/>
                <w:b/>
                <w:color w:val="800000"/>
                <w:sz w:val="28"/>
                <w:szCs w:val="28"/>
                <w:lang w:val="en-GB"/>
              </w:rPr>
            </w:pP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027" w:type="dxa"/>
            <w:vAlign w:val="center"/>
          </w:tcPr>
          <w:p w:rsidR="00D70DA5" w:rsidRPr="000A6B0A" w:rsidRDefault="00D70DA5">
            <w:pPr>
              <w:jc w:val="center"/>
              <w:rPr>
                <w:rFonts w:ascii="Wingdings 2" w:hAnsi="Wingdings 2"/>
                <w:b/>
                <w:color w:val="008000"/>
                <w:sz w:val="28"/>
                <w:szCs w:val="28"/>
                <w:lang w:val="en-GB"/>
              </w:rPr>
            </w:pPr>
          </w:p>
        </w:tc>
        <w:tc>
          <w:tcPr>
            <w:tcW w:w="978" w:type="dxa"/>
            <w:vAlign w:val="center"/>
          </w:tcPr>
          <w:p w:rsidR="00D70DA5" w:rsidRPr="000A6B0A" w:rsidRDefault="00D70DA5">
            <w:pPr>
              <w:jc w:val="center"/>
              <w:rPr>
                <w:rFonts w:ascii="Wingdings 2" w:hAnsi="Wingdings 2"/>
                <w:b/>
                <w:color w:val="008000"/>
                <w:sz w:val="28"/>
                <w:szCs w:val="28"/>
                <w:lang w:val="en-GB"/>
              </w:rPr>
            </w:pPr>
          </w:p>
        </w:tc>
        <w:tc>
          <w:tcPr>
            <w:tcW w:w="1132" w:type="dxa"/>
          </w:tcPr>
          <w:p w:rsidR="00D70DA5" w:rsidRPr="000A6B0A" w:rsidRDefault="00D70DA5">
            <w:pPr>
              <w:jc w:val="center"/>
              <w:rPr>
                <w:rFonts w:ascii="Wingdings 2" w:hAnsi="Wingdings 2"/>
                <w:b/>
                <w:color w:val="800000"/>
                <w:sz w:val="28"/>
                <w:szCs w:val="28"/>
                <w:lang w:val="en-GB"/>
              </w:rPr>
            </w:pPr>
          </w:p>
        </w:tc>
        <w:tc>
          <w:tcPr>
            <w:tcW w:w="950" w:type="dxa"/>
          </w:tcPr>
          <w:p w:rsidR="00D70DA5" w:rsidRPr="000A6B0A" w:rsidRDefault="00D70DA5">
            <w:pPr>
              <w:jc w:val="center"/>
              <w:rPr>
                <w:rFonts w:ascii="Wingdings 2" w:hAnsi="Wingdings 2"/>
                <w:b/>
                <w:color w:val="800000"/>
                <w:sz w:val="28"/>
                <w:szCs w:val="28"/>
                <w:lang w:val="en-GB"/>
              </w:rPr>
            </w:pPr>
          </w:p>
        </w:tc>
        <w:tc>
          <w:tcPr>
            <w:tcW w:w="1117" w:type="dxa"/>
          </w:tcPr>
          <w:p w:rsidR="00D70DA5" w:rsidRPr="000A6B0A" w:rsidRDefault="00D70DA5">
            <w:pPr>
              <w:jc w:val="center"/>
              <w:rPr>
                <w:rFonts w:ascii="Wingdings 2" w:hAnsi="Wingdings 2"/>
                <w:b/>
                <w:color w:val="800000"/>
                <w:sz w:val="28"/>
                <w:szCs w:val="28"/>
                <w:lang w:val="en-GB"/>
              </w:rPr>
            </w:pPr>
          </w:p>
        </w:tc>
        <w:tc>
          <w:tcPr>
            <w:tcW w:w="894" w:type="dxa"/>
          </w:tcPr>
          <w:p w:rsidR="00D70DA5" w:rsidRPr="000A6B0A" w:rsidRDefault="00D70DA5">
            <w:pPr>
              <w:jc w:val="center"/>
              <w:rPr>
                <w:rFonts w:ascii="Wingdings 2" w:hAnsi="Wingdings 2"/>
                <w:b/>
                <w:color w:val="800000"/>
                <w:sz w:val="28"/>
                <w:szCs w:val="28"/>
                <w:lang w:val="en-GB"/>
              </w:rPr>
            </w:pP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tcPr>
          <w:p w:rsidR="00D70DA5" w:rsidRPr="000A6B0A" w:rsidRDefault="00D70DA5">
            <w:pPr>
              <w:jc w:val="center"/>
              <w:rPr>
                <w:rFonts w:ascii="Wingdings 2" w:hAnsi="Wingdings 2"/>
                <w:b/>
                <w:color w:val="800000"/>
                <w:sz w:val="28"/>
                <w:szCs w:val="28"/>
                <w:lang w:val="en-GB"/>
              </w:rPr>
            </w:pPr>
          </w:p>
        </w:tc>
        <w:tc>
          <w:tcPr>
            <w:tcW w:w="851" w:type="dxa"/>
          </w:tcPr>
          <w:p w:rsidR="00D70DA5" w:rsidRPr="000A6B0A" w:rsidRDefault="00D70DA5">
            <w:pPr>
              <w:jc w:val="center"/>
              <w:rPr>
                <w:rFonts w:ascii="Wingdings 2" w:hAnsi="Wingdings 2"/>
                <w:b/>
                <w:color w:val="800000"/>
                <w:sz w:val="28"/>
                <w:szCs w:val="28"/>
                <w:lang w:val="en-GB"/>
              </w:rPr>
            </w:pPr>
          </w:p>
        </w:tc>
        <w:tc>
          <w:tcPr>
            <w:tcW w:w="918" w:type="dxa"/>
          </w:tcPr>
          <w:p w:rsidR="00D70DA5" w:rsidRPr="000A6B0A" w:rsidRDefault="00D70DA5">
            <w:pPr>
              <w:jc w:val="center"/>
              <w:rPr>
                <w:rFonts w:ascii="Wingdings 2" w:hAnsi="Wingdings 2"/>
                <w:b/>
                <w:color w:val="800000"/>
                <w:sz w:val="28"/>
                <w:szCs w:val="28"/>
                <w:lang w:val="en-GB"/>
              </w:rPr>
            </w:pP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Pr="00824F4B"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Finland</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r>
              <w:rPr>
                <w:rStyle w:val="Appelnotedebasdep"/>
                <w:rFonts w:ascii="Calibri" w:hAnsi="Calibri"/>
                <w:sz w:val="20"/>
                <w:lang w:val="en-GB"/>
              </w:rPr>
              <w:footnoteReference w:id="73"/>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b/>
                <w:sz w:val="20"/>
                <w:lang w:val="en-GB"/>
              </w:rPr>
            </w:pPr>
            <w:r w:rsidRPr="000A6B0A">
              <w:rPr>
                <w:rFonts w:ascii="Calibri" w:hAnsi="Calibri" w:cs="Calibri"/>
                <w:b/>
                <w:sz w:val="20"/>
                <w:lang w:val="en-GB"/>
              </w:rPr>
              <w:t>France</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Germany</w:t>
            </w:r>
            <w:r>
              <w:rPr>
                <w:rStyle w:val="Appelnotedebasdep"/>
                <w:rFonts w:ascii="Calibri" w:hAnsi="Calibri"/>
                <w:sz w:val="20"/>
                <w:lang w:val="en-GB"/>
              </w:rPr>
              <w:footnoteReference w:id="74"/>
            </w:r>
            <w:r w:rsidRPr="000A6B0A">
              <w:rPr>
                <w:rFonts w:ascii="Calibri" w:hAnsi="Calibri" w:cs="Calibri"/>
                <w:b/>
                <w:sz w:val="20"/>
                <w:lang w:val="en-GB"/>
              </w:rPr>
              <w:t xml:space="preserve">  </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Greece</w:t>
            </w:r>
            <w:r w:rsidR="003946FB">
              <w:rPr>
                <w:rStyle w:val="Appelnotedebasdep"/>
                <w:rFonts w:ascii="Calibri" w:hAnsi="Calibri"/>
                <w:sz w:val="20"/>
                <w:lang w:val="en-GB"/>
              </w:rPr>
              <w:footnoteReference w:id="75"/>
            </w:r>
          </w:p>
        </w:tc>
        <w:tc>
          <w:tcPr>
            <w:tcW w:w="1027"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78"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32"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50"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17"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894"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798"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401"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32"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851"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18" w:type="dxa"/>
            <w:shd w:val="clear" w:color="auto" w:fill="D9D9D9" w:themeFill="background1" w:themeFillShade="D9"/>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Hungary</w:t>
            </w:r>
          </w:p>
        </w:tc>
        <w:tc>
          <w:tcPr>
            <w:tcW w:w="1027"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78"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32"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50"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17"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894" w:type="dxa"/>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798" w:type="dxa"/>
            <w:vAlign w:val="center"/>
          </w:tcPr>
          <w:p w:rsidR="00D70DA5" w:rsidRPr="000A6B0A" w:rsidRDefault="00D70DA5">
            <w:pPr>
              <w:jc w:val="center"/>
              <w:rPr>
                <w:rFonts w:ascii="Wingdings 2" w:hAnsi="Wingdings 2"/>
                <w:b/>
                <w:color w:val="800000"/>
                <w:sz w:val="28"/>
                <w:szCs w:val="28"/>
                <w:lang w:val="en-GB"/>
              </w:rPr>
            </w:pPr>
            <w:r w:rsidRPr="00824F4B">
              <w:rPr>
                <w:rFonts w:asciiTheme="minorHAnsi" w:hAnsiTheme="minorHAnsi"/>
                <w:sz w:val="20"/>
                <w:szCs w:val="28"/>
                <w:lang w:val="en-GB"/>
              </w:rPr>
              <w:t>N/A</w:t>
            </w:r>
          </w:p>
        </w:tc>
        <w:tc>
          <w:tcPr>
            <w:tcW w:w="1401" w:type="dxa"/>
            <w:vAlign w:val="center"/>
          </w:tcPr>
          <w:p w:rsidR="00D70DA5" w:rsidRPr="000A6B0A" w:rsidRDefault="00D70DA5">
            <w:pPr>
              <w:jc w:val="center"/>
              <w:rPr>
                <w:rFonts w:ascii="Wingdings 2" w:hAnsi="Wingdings 2"/>
                <w:b/>
                <w:color w:val="800000"/>
                <w:sz w:val="28"/>
                <w:szCs w:val="28"/>
                <w:lang w:val="en-GB"/>
              </w:rPr>
            </w:pPr>
            <w:r w:rsidRPr="00824F4B">
              <w:rPr>
                <w:rFonts w:asciiTheme="minorHAnsi" w:hAnsiTheme="minorHAnsi"/>
                <w:sz w:val="20"/>
                <w:szCs w:val="28"/>
                <w:lang w:val="en-GB"/>
              </w:rPr>
              <w:t>N/A</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Italy</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Latvia</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Netherlands</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Norway</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1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Poland</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1027"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79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86605D">
        <w:trPr>
          <w:trHeight w:val="56"/>
          <w:jc w:val="center"/>
        </w:trPr>
        <w:tc>
          <w:tcPr>
            <w:tcW w:w="1227" w:type="dxa"/>
            <w:shd w:val="clear" w:color="auto" w:fill="FFFFFF" w:themeFill="background1"/>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lastRenderedPageBreak/>
              <w:t>Slovakia</w:t>
            </w:r>
            <w:r>
              <w:rPr>
                <w:rStyle w:val="Appelnotedebasdep"/>
                <w:rFonts w:asciiTheme="minorHAnsi" w:hAnsiTheme="minorHAnsi"/>
                <w:sz w:val="20"/>
                <w:lang w:val="en-GB"/>
              </w:rPr>
              <w:footnoteReference w:id="76"/>
            </w:r>
          </w:p>
        </w:tc>
        <w:tc>
          <w:tcPr>
            <w:tcW w:w="1027"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78"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32"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950"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1117"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894" w:type="dxa"/>
            <w:shd w:val="clear" w:color="auto" w:fill="FFFFFF" w:themeFill="background1"/>
            <w:vAlign w:val="center"/>
          </w:tcPr>
          <w:p w:rsidR="00D70DA5" w:rsidRPr="00824F4B" w:rsidRDefault="00D70DA5">
            <w:pPr>
              <w:jc w:val="center"/>
              <w:rPr>
                <w:rFonts w:asciiTheme="minorHAnsi" w:hAnsiTheme="minorHAnsi"/>
                <w:sz w:val="20"/>
                <w:szCs w:val="28"/>
                <w:lang w:val="en-GB"/>
              </w:rPr>
            </w:pPr>
            <w:r w:rsidRPr="00824F4B">
              <w:rPr>
                <w:rFonts w:asciiTheme="minorHAnsi" w:hAnsiTheme="minorHAnsi"/>
                <w:sz w:val="20"/>
                <w:szCs w:val="28"/>
                <w:lang w:val="en-GB"/>
              </w:rPr>
              <w:t>N/A</w:t>
            </w:r>
          </w:p>
        </w:tc>
        <w:tc>
          <w:tcPr>
            <w:tcW w:w="798"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824F4B">
              <w:rPr>
                <w:rFonts w:asciiTheme="minorHAnsi" w:hAnsiTheme="minorHAnsi"/>
                <w:sz w:val="20"/>
                <w:szCs w:val="28"/>
                <w:lang w:val="en-GB"/>
              </w:rPr>
              <w:t>N/A</w:t>
            </w:r>
          </w:p>
        </w:tc>
        <w:tc>
          <w:tcPr>
            <w:tcW w:w="1401"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824F4B">
              <w:rPr>
                <w:rFonts w:asciiTheme="minorHAnsi" w:hAnsiTheme="minorHAnsi"/>
                <w:sz w:val="20"/>
                <w:szCs w:val="28"/>
                <w:lang w:val="en-GB"/>
              </w:rPr>
              <w:t>N/A</w:t>
            </w:r>
          </w:p>
        </w:tc>
        <w:tc>
          <w:tcPr>
            <w:tcW w:w="113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918" w:type="dxa"/>
            <w:shd w:val="clear" w:color="auto" w:fill="FFFFFF" w:themeFill="background1"/>
            <w:vAlign w:val="center"/>
          </w:tcPr>
          <w:p w:rsidR="00D70DA5" w:rsidRPr="000A6B0A" w:rsidRDefault="00A676E3">
            <w:pPr>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D70DA5" w:rsidRPr="000A6B0A" w:rsidTr="0086605D">
        <w:trPr>
          <w:trHeight w:val="125"/>
          <w:jc w:val="center"/>
        </w:trPr>
        <w:tc>
          <w:tcPr>
            <w:tcW w:w="1227" w:type="dxa"/>
            <w:shd w:val="clear" w:color="auto" w:fill="D9D9D9" w:themeFill="background1" w:themeFillShade="D9"/>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Slovenia</w:t>
            </w:r>
          </w:p>
        </w:tc>
        <w:tc>
          <w:tcPr>
            <w:tcW w:w="1027"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978"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132"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18"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D70DA5" w:rsidRPr="000A6B0A" w:rsidTr="0086605D">
        <w:trPr>
          <w:trHeight w:val="125"/>
          <w:jc w:val="center"/>
        </w:trPr>
        <w:tc>
          <w:tcPr>
            <w:tcW w:w="1227" w:type="dxa"/>
            <w:shd w:val="clear" w:color="auto" w:fill="FFFFFF" w:themeFill="background1"/>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Spain</w:t>
            </w:r>
          </w:p>
        </w:tc>
        <w:tc>
          <w:tcPr>
            <w:tcW w:w="1027"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78"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132"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950"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117"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894"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r w:rsidRPr="007C482C">
              <w:rPr>
                <w:rStyle w:val="Appelnotedebasdep"/>
                <w:rFonts w:ascii="Calibri" w:hAnsi="Calibri"/>
                <w:sz w:val="20"/>
                <w:lang w:val="en-GB"/>
              </w:rPr>
              <w:footnoteReference w:id="77"/>
            </w:r>
          </w:p>
        </w:tc>
        <w:tc>
          <w:tcPr>
            <w:tcW w:w="798"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401"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132"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851"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18"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Sweden</w:t>
            </w:r>
          </w:p>
        </w:tc>
        <w:tc>
          <w:tcPr>
            <w:tcW w:w="1027"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32"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1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86605D">
        <w:trPr>
          <w:trHeight w:val="56"/>
          <w:jc w:val="center"/>
        </w:trPr>
        <w:tc>
          <w:tcPr>
            <w:tcW w:w="1227" w:type="dxa"/>
            <w:shd w:val="clear" w:color="auto" w:fill="FFFFFF" w:themeFill="background1"/>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United-Kingdom</w:t>
            </w:r>
          </w:p>
        </w:tc>
        <w:tc>
          <w:tcPr>
            <w:tcW w:w="1027"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78"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0"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17"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94"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798"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0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32"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5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18"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r>
    </w:tbl>
    <w:p w:rsidR="00D70DA5" w:rsidRDefault="00D70DA5" w:rsidP="0086605D">
      <w:pPr>
        <w:spacing w:line="276" w:lineRule="auto"/>
        <w:jc w:val="both"/>
        <w:rPr>
          <w:rFonts w:asciiTheme="minorHAnsi" w:hAnsiTheme="minorHAnsi"/>
          <w:i/>
          <w:noProof/>
          <w:sz w:val="22"/>
          <w:szCs w:val="22"/>
          <w:lang w:val="en-GB"/>
        </w:rPr>
      </w:pPr>
    </w:p>
    <w:p w:rsidR="00D70DA5" w:rsidRDefault="00D70DA5" w:rsidP="00D70DA5">
      <w:pPr>
        <w:spacing w:line="276" w:lineRule="auto"/>
        <w:jc w:val="both"/>
        <w:rPr>
          <w:rFonts w:asciiTheme="minorHAnsi" w:hAnsiTheme="minorHAnsi"/>
          <w:i/>
          <w:noProof/>
          <w:sz w:val="22"/>
          <w:szCs w:val="22"/>
          <w:lang w:val="en-GB"/>
        </w:rPr>
        <w:sectPr w:rsidR="00D70DA5" w:rsidSect="0086605D">
          <w:pgSz w:w="16839" w:h="11907" w:orient="landscape"/>
          <w:pgMar w:top="1800" w:right="1258" w:bottom="1287" w:left="1008" w:header="708" w:footer="708" w:gutter="0"/>
          <w:cols w:space="708"/>
          <w:docGrid w:linePitch="360"/>
        </w:sectPr>
      </w:pPr>
    </w:p>
    <w:p w:rsidR="000D2D45" w:rsidRPr="00A56CA1" w:rsidRDefault="000D2D45" w:rsidP="00E561FB">
      <w:pPr>
        <w:pStyle w:val="Paragraphedeliste"/>
        <w:numPr>
          <w:ilvl w:val="1"/>
          <w:numId w:val="2"/>
        </w:numPr>
        <w:spacing w:line="276" w:lineRule="auto"/>
        <w:jc w:val="both"/>
        <w:rPr>
          <w:rFonts w:asciiTheme="minorHAnsi" w:hAnsiTheme="minorHAnsi"/>
          <w:b/>
          <w:sz w:val="22"/>
          <w:szCs w:val="22"/>
          <w:lang w:val="en-GB"/>
        </w:rPr>
      </w:pPr>
      <w:r w:rsidRPr="00A56CA1">
        <w:rPr>
          <w:rFonts w:asciiTheme="minorHAnsi" w:hAnsiTheme="minorHAnsi"/>
          <w:b/>
          <w:sz w:val="22"/>
          <w:szCs w:val="22"/>
          <w:lang w:val="en-GB"/>
        </w:rPr>
        <w:lastRenderedPageBreak/>
        <w:t>Investment and subsidies</w:t>
      </w:r>
    </w:p>
    <w:p w:rsidR="000D2D45" w:rsidRPr="00920176" w:rsidRDefault="000D2D45" w:rsidP="000D2D45">
      <w:pPr>
        <w:spacing w:line="276" w:lineRule="auto"/>
        <w:jc w:val="both"/>
        <w:rPr>
          <w:rFonts w:asciiTheme="minorHAnsi" w:hAnsiTheme="minorHAnsi"/>
          <w:sz w:val="22"/>
          <w:szCs w:val="22"/>
          <w:lang w:val="en-GB"/>
        </w:rPr>
      </w:pPr>
    </w:p>
    <w:p w:rsidR="000D2D45" w:rsidRPr="000A6B0A" w:rsidRDefault="000D2D45" w:rsidP="00E561FB">
      <w:pPr>
        <w:numPr>
          <w:ilvl w:val="0"/>
          <w:numId w:val="9"/>
        </w:numPr>
        <w:tabs>
          <w:tab w:val="clear" w:pos="720"/>
          <w:tab w:val="num" w:pos="360"/>
        </w:tabs>
        <w:spacing w:line="276" w:lineRule="auto"/>
        <w:ind w:hanging="720"/>
        <w:jc w:val="both"/>
        <w:rPr>
          <w:rFonts w:asciiTheme="minorHAnsi" w:hAnsiTheme="minorHAnsi"/>
          <w:bCs/>
          <w:i/>
          <w:sz w:val="22"/>
          <w:szCs w:val="22"/>
          <w:lang w:val="en-GB"/>
        </w:rPr>
      </w:pPr>
      <w:r w:rsidRPr="00920176">
        <w:rPr>
          <w:rFonts w:asciiTheme="minorHAnsi" w:hAnsiTheme="minorHAnsi"/>
          <w:i/>
          <w:sz w:val="22"/>
          <w:szCs w:val="22"/>
          <w:lang w:val="en-GB"/>
        </w:rPr>
        <w:t xml:space="preserve"> </w:t>
      </w:r>
      <w:r w:rsidRPr="000A6B0A">
        <w:rPr>
          <w:rFonts w:asciiTheme="minorHAnsi" w:hAnsiTheme="minorHAnsi"/>
          <w:bCs/>
          <w:i/>
          <w:sz w:val="22"/>
          <w:szCs w:val="22"/>
          <w:lang w:val="en-GB"/>
        </w:rPr>
        <w:t>Review of the IM’s investment program</w:t>
      </w:r>
      <w:r w:rsidR="00420D3F" w:rsidRPr="000A6B0A">
        <w:rPr>
          <w:rFonts w:asciiTheme="minorHAnsi" w:hAnsiTheme="minorHAnsi"/>
          <w:bCs/>
          <w:i/>
          <w:sz w:val="22"/>
          <w:szCs w:val="22"/>
          <w:lang w:val="en-GB"/>
        </w:rPr>
        <w:t>me</w:t>
      </w:r>
      <w:r w:rsidRPr="000A6B0A">
        <w:rPr>
          <w:rFonts w:asciiTheme="minorHAnsi" w:hAnsiTheme="minorHAnsi"/>
          <w:bCs/>
          <w:i/>
          <w:sz w:val="22"/>
          <w:szCs w:val="22"/>
          <w:lang w:val="en-GB"/>
        </w:rPr>
        <w:t>s</w:t>
      </w:r>
    </w:p>
    <w:p w:rsidR="000D2D45" w:rsidRPr="000A6B0A" w:rsidRDefault="000D2D45" w:rsidP="000D2D45">
      <w:pPr>
        <w:spacing w:line="276" w:lineRule="auto"/>
        <w:jc w:val="both"/>
        <w:rPr>
          <w:rFonts w:asciiTheme="minorHAnsi" w:hAnsiTheme="minorHAnsi"/>
          <w:b/>
          <w:bCs/>
          <w:sz w:val="22"/>
          <w:szCs w:val="22"/>
          <w:lang w:val="en-GB"/>
        </w:rPr>
      </w:pPr>
    </w:p>
    <w:p w:rsidR="000D2F23"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Only the </w:t>
      </w:r>
      <w:r w:rsidR="00C34E0E">
        <w:rPr>
          <w:rFonts w:asciiTheme="minorHAnsi" w:hAnsiTheme="minorHAnsi"/>
          <w:sz w:val="22"/>
          <w:szCs w:val="22"/>
          <w:lang w:val="en-GB"/>
        </w:rPr>
        <w:t>five</w:t>
      </w:r>
      <w:r w:rsidR="00C34E0E" w:rsidRPr="000A6B0A">
        <w:rPr>
          <w:rFonts w:asciiTheme="minorHAnsi" w:hAnsiTheme="minorHAnsi"/>
          <w:sz w:val="22"/>
          <w:szCs w:val="22"/>
          <w:lang w:val="en-GB"/>
        </w:rPr>
        <w:t xml:space="preserve"> </w:t>
      </w:r>
      <w:r w:rsidRPr="000A6B0A">
        <w:rPr>
          <w:rFonts w:asciiTheme="minorHAnsi" w:hAnsiTheme="minorHAnsi"/>
          <w:sz w:val="22"/>
          <w:szCs w:val="22"/>
          <w:lang w:val="en-GB"/>
        </w:rPr>
        <w:t>regulatory bodies of France</w:t>
      </w:r>
      <w:r w:rsidR="00094DB6">
        <w:rPr>
          <w:rFonts w:asciiTheme="minorHAnsi" w:hAnsiTheme="minorHAnsi"/>
          <w:sz w:val="22"/>
          <w:szCs w:val="22"/>
          <w:lang w:val="en-GB"/>
        </w:rPr>
        <w:t>, Portugal, Estonia, Bulgaria</w:t>
      </w:r>
      <w:r w:rsidR="00A05C3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and the UK have the task of </w:t>
      </w:r>
      <w:r w:rsidR="0096783C" w:rsidRPr="000A6B0A">
        <w:rPr>
          <w:rFonts w:asciiTheme="minorHAnsi" w:hAnsiTheme="minorHAnsi"/>
          <w:sz w:val="22"/>
          <w:szCs w:val="22"/>
          <w:lang w:val="en-GB"/>
        </w:rPr>
        <w:t xml:space="preserve">formally </w:t>
      </w:r>
      <w:r w:rsidRPr="000A6B0A">
        <w:rPr>
          <w:rFonts w:asciiTheme="minorHAnsi" w:hAnsiTheme="minorHAnsi"/>
          <w:sz w:val="22"/>
          <w:szCs w:val="22"/>
          <w:lang w:val="en-GB"/>
        </w:rPr>
        <w:t>reviewing the investment</w:t>
      </w:r>
      <w:r w:rsidR="007C5748" w:rsidRPr="000A6B0A">
        <w:rPr>
          <w:rFonts w:asciiTheme="minorHAnsi" w:hAnsiTheme="minorHAnsi"/>
          <w:sz w:val="22"/>
          <w:szCs w:val="22"/>
          <w:lang w:val="en-GB"/>
        </w:rPr>
        <w:t>s or investment</w:t>
      </w:r>
      <w:r w:rsidRPr="000A6B0A">
        <w:rPr>
          <w:rFonts w:asciiTheme="minorHAnsi" w:hAnsiTheme="minorHAnsi"/>
          <w:sz w:val="22"/>
          <w:szCs w:val="22"/>
          <w:lang w:val="en-GB"/>
        </w:rPr>
        <w:t xml:space="preserve"> program</w:t>
      </w:r>
      <w:r w:rsidR="00420D3F" w:rsidRPr="000A6B0A">
        <w:rPr>
          <w:rFonts w:asciiTheme="minorHAnsi" w:hAnsiTheme="minorHAnsi"/>
          <w:sz w:val="22"/>
          <w:szCs w:val="22"/>
          <w:lang w:val="en-GB"/>
        </w:rPr>
        <w:t>me</w:t>
      </w:r>
      <w:r w:rsidRPr="000A6B0A">
        <w:rPr>
          <w:rFonts w:asciiTheme="minorHAnsi" w:hAnsiTheme="minorHAnsi"/>
          <w:sz w:val="22"/>
          <w:szCs w:val="22"/>
          <w:lang w:val="en-GB"/>
        </w:rPr>
        <w:t xml:space="preserve">s of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w:t>
      </w:r>
      <w:r w:rsidR="000D2F23" w:rsidRPr="000A6B0A">
        <w:rPr>
          <w:rFonts w:asciiTheme="minorHAnsi" w:hAnsiTheme="minorHAnsi"/>
          <w:sz w:val="22"/>
          <w:szCs w:val="22"/>
          <w:lang w:val="en-GB"/>
        </w:rPr>
        <w:t xml:space="preserve">Some </w:t>
      </w:r>
      <w:r w:rsidR="0096783C" w:rsidRPr="000A6B0A">
        <w:rPr>
          <w:rFonts w:asciiTheme="minorHAnsi" w:hAnsiTheme="minorHAnsi"/>
          <w:sz w:val="22"/>
          <w:szCs w:val="22"/>
          <w:lang w:val="en-GB"/>
        </w:rPr>
        <w:t xml:space="preserve">other </w:t>
      </w:r>
      <w:r w:rsidR="000D2F23" w:rsidRPr="000A6B0A">
        <w:rPr>
          <w:rFonts w:asciiTheme="minorHAnsi" w:hAnsiTheme="minorHAnsi"/>
          <w:sz w:val="22"/>
          <w:szCs w:val="22"/>
          <w:lang w:val="en-GB"/>
        </w:rPr>
        <w:t xml:space="preserve">regulatory bodies </w:t>
      </w:r>
      <w:r w:rsidR="0096783C" w:rsidRPr="000A6B0A">
        <w:rPr>
          <w:rFonts w:asciiTheme="minorHAnsi" w:hAnsiTheme="minorHAnsi"/>
          <w:sz w:val="22"/>
          <w:szCs w:val="22"/>
          <w:lang w:val="en-GB"/>
        </w:rPr>
        <w:t>may</w:t>
      </w:r>
      <w:r w:rsidR="000D2F23" w:rsidRPr="000A6B0A">
        <w:rPr>
          <w:rFonts w:asciiTheme="minorHAnsi" w:hAnsiTheme="minorHAnsi"/>
          <w:sz w:val="22"/>
          <w:szCs w:val="22"/>
          <w:lang w:val="en-GB"/>
        </w:rPr>
        <w:t xml:space="preserve"> however </w:t>
      </w:r>
      <w:r w:rsidR="0096783C" w:rsidRPr="000A6B0A">
        <w:rPr>
          <w:rFonts w:asciiTheme="minorHAnsi" w:hAnsiTheme="minorHAnsi"/>
          <w:sz w:val="22"/>
          <w:szCs w:val="22"/>
          <w:lang w:val="en-GB"/>
        </w:rPr>
        <w:t xml:space="preserve">be </w:t>
      </w:r>
      <w:r w:rsidR="000D2F23" w:rsidRPr="000A6B0A">
        <w:rPr>
          <w:rFonts w:asciiTheme="minorHAnsi" w:hAnsiTheme="minorHAnsi"/>
          <w:sz w:val="22"/>
          <w:szCs w:val="22"/>
          <w:lang w:val="en-GB"/>
        </w:rPr>
        <w:t xml:space="preserve">consulted, as part of a more general consultation procedure, on medium to long term investments plans. In Sweden, the regulator is consulted on the </w:t>
      </w:r>
      <w:r w:rsidR="00B342D2" w:rsidRPr="000A6B0A">
        <w:rPr>
          <w:rFonts w:asciiTheme="minorHAnsi" w:hAnsiTheme="minorHAnsi"/>
          <w:sz w:val="22"/>
          <w:szCs w:val="22"/>
          <w:lang w:val="en-GB"/>
        </w:rPr>
        <w:t>n</w:t>
      </w:r>
      <w:r w:rsidR="000D2F23" w:rsidRPr="000A6B0A">
        <w:rPr>
          <w:rFonts w:asciiTheme="minorHAnsi" w:hAnsiTheme="minorHAnsi"/>
          <w:sz w:val="22"/>
          <w:szCs w:val="22"/>
          <w:lang w:val="en-GB"/>
        </w:rPr>
        <w:t>ational transportation plan which is prepared by the transport administration and constitutes a national investment plan over a period of 10-12 years. The Spanish Railway Act, transposing Directive 2012/34/EU, also foresees a general consultation</w:t>
      </w:r>
      <w:r w:rsidR="0096783C" w:rsidRPr="000A6B0A">
        <w:rPr>
          <w:rFonts w:asciiTheme="minorHAnsi" w:hAnsiTheme="minorHAnsi"/>
          <w:sz w:val="22"/>
          <w:szCs w:val="22"/>
          <w:lang w:val="en-GB"/>
        </w:rPr>
        <w:t xml:space="preserve"> </w:t>
      </w:r>
      <w:r w:rsidR="000D2F23" w:rsidRPr="000A6B0A">
        <w:rPr>
          <w:rFonts w:asciiTheme="minorHAnsi" w:hAnsiTheme="minorHAnsi"/>
          <w:sz w:val="22"/>
          <w:szCs w:val="22"/>
          <w:lang w:val="en-GB"/>
        </w:rPr>
        <w:t>procedure</w:t>
      </w:r>
      <w:r w:rsidR="0096783C" w:rsidRPr="000A6B0A">
        <w:rPr>
          <w:rFonts w:asciiTheme="minorHAnsi" w:hAnsiTheme="minorHAnsi"/>
          <w:sz w:val="22"/>
          <w:szCs w:val="22"/>
          <w:lang w:val="en-GB"/>
        </w:rPr>
        <w:t>, which would include the rail regulator,</w:t>
      </w:r>
      <w:r w:rsidR="000D2F23" w:rsidRPr="000A6B0A">
        <w:rPr>
          <w:rFonts w:asciiTheme="minorHAnsi" w:hAnsiTheme="minorHAnsi"/>
          <w:sz w:val="22"/>
          <w:szCs w:val="22"/>
          <w:lang w:val="en-GB"/>
        </w:rPr>
        <w:t xml:space="preserve"> on the strategic plan of </w:t>
      </w:r>
      <w:r w:rsidR="00D57EB0">
        <w:rPr>
          <w:rFonts w:asciiTheme="minorHAnsi" w:hAnsiTheme="minorHAnsi"/>
          <w:sz w:val="22"/>
          <w:szCs w:val="22"/>
          <w:lang w:val="en-GB"/>
        </w:rPr>
        <w:t>n</w:t>
      </w:r>
      <w:r w:rsidR="000D2F23" w:rsidRPr="000A6B0A">
        <w:rPr>
          <w:rFonts w:asciiTheme="minorHAnsi" w:hAnsiTheme="minorHAnsi"/>
          <w:sz w:val="22"/>
          <w:szCs w:val="22"/>
          <w:lang w:val="en-GB"/>
        </w:rPr>
        <w:t>etwork development</w:t>
      </w:r>
      <w:r w:rsidR="0096783C" w:rsidRPr="000A6B0A">
        <w:rPr>
          <w:rFonts w:asciiTheme="minorHAnsi" w:hAnsiTheme="minorHAnsi"/>
          <w:sz w:val="22"/>
          <w:szCs w:val="22"/>
          <w:lang w:val="en-GB"/>
        </w:rPr>
        <w:t>. Finally, some regulators may have access to information on investment</w:t>
      </w:r>
      <w:r w:rsidR="007C5748" w:rsidRPr="000A6B0A">
        <w:rPr>
          <w:rFonts w:asciiTheme="minorHAnsi" w:hAnsiTheme="minorHAnsi"/>
          <w:sz w:val="22"/>
          <w:szCs w:val="22"/>
          <w:lang w:val="en-GB"/>
        </w:rPr>
        <w:t>s</w:t>
      </w:r>
      <w:r w:rsidR="0096783C" w:rsidRPr="000A6B0A">
        <w:rPr>
          <w:rFonts w:asciiTheme="minorHAnsi" w:hAnsiTheme="minorHAnsi"/>
          <w:sz w:val="22"/>
          <w:szCs w:val="22"/>
          <w:lang w:val="en-GB"/>
        </w:rPr>
        <w:t xml:space="preserve">, without being formally consulted. The Italian regulatory body </w:t>
      </w:r>
      <w:r w:rsidR="00C047DE">
        <w:rPr>
          <w:rFonts w:asciiTheme="minorHAnsi" w:hAnsiTheme="minorHAnsi"/>
          <w:sz w:val="22"/>
          <w:szCs w:val="22"/>
          <w:lang w:val="en-GB"/>
        </w:rPr>
        <w:t>must be</w:t>
      </w:r>
      <w:r w:rsidR="0096783C" w:rsidRPr="000A6B0A">
        <w:rPr>
          <w:rFonts w:asciiTheme="minorHAnsi" w:hAnsiTheme="minorHAnsi"/>
          <w:sz w:val="22"/>
          <w:szCs w:val="22"/>
          <w:lang w:val="en-GB"/>
        </w:rPr>
        <w:t xml:space="preserve"> informed of the content of the contractual arrangements between the State and the IM which fix the investments and the renewals over a five-year period.</w:t>
      </w:r>
      <w:r w:rsidR="00855283" w:rsidRPr="000A6B0A">
        <w:rPr>
          <w:rFonts w:asciiTheme="minorHAnsi" w:hAnsiTheme="minorHAnsi"/>
          <w:sz w:val="22"/>
          <w:szCs w:val="22"/>
          <w:lang w:val="en-GB"/>
        </w:rPr>
        <w:t xml:space="preserve"> </w:t>
      </w:r>
      <w:r w:rsidR="00B73C4B" w:rsidRPr="000A6B0A">
        <w:rPr>
          <w:rFonts w:asciiTheme="minorHAnsi" w:hAnsiTheme="minorHAnsi"/>
          <w:sz w:val="22"/>
          <w:szCs w:val="22"/>
          <w:lang w:val="en-GB"/>
        </w:rPr>
        <w:t>The G</w:t>
      </w:r>
      <w:r w:rsidR="00855283" w:rsidRPr="000A6B0A">
        <w:rPr>
          <w:rFonts w:asciiTheme="minorHAnsi" w:hAnsiTheme="minorHAnsi"/>
          <w:sz w:val="22"/>
          <w:szCs w:val="22"/>
          <w:lang w:val="en-GB"/>
        </w:rPr>
        <w:t xml:space="preserve">erman IM has to set up a business plan including investment- and financing programs. The </w:t>
      </w:r>
      <w:r w:rsidR="00D57EB0">
        <w:rPr>
          <w:rFonts w:asciiTheme="minorHAnsi" w:hAnsiTheme="minorHAnsi"/>
          <w:sz w:val="22"/>
          <w:szCs w:val="22"/>
          <w:lang w:val="en-GB"/>
        </w:rPr>
        <w:t>regulatory body</w:t>
      </w:r>
      <w:r w:rsidR="00D57EB0" w:rsidRPr="000A6B0A">
        <w:rPr>
          <w:rFonts w:asciiTheme="minorHAnsi" w:hAnsiTheme="minorHAnsi"/>
          <w:sz w:val="22"/>
          <w:szCs w:val="22"/>
          <w:lang w:val="en-GB"/>
        </w:rPr>
        <w:t xml:space="preserve"> </w:t>
      </w:r>
      <w:r w:rsidR="00855283" w:rsidRPr="000A6B0A">
        <w:rPr>
          <w:rFonts w:asciiTheme="minorHAnsi" w:hAnsiTheme="minorHAnsi"/>
          <w:sz w:val="22"/>
          <w:szCs w:val="22"/>
          <w:lang w:val="en-GB"/>
        </w:rPr>
        <w:t xml:space="preserve">has the possibility to comment </w:t>
      </w:r>
      <w:r w:rsidR="00495EEB">
        <w:rPr>
          <w:rFonts w:asciiTheme="minorHAnsi" w:hAnsiTheme="minorHAnsi"/>
          <w:sz w:val="22"/>
          <w:szCs w:val="22"/>
          <w:lang w:val="en-GB"/>
        </w:rPr>
        <w:t xml:space="preserve">on </w:t>
      </w:r>
      <w:r w:rsidR="00855283" w:rsidRPr="000A6B0A">
        <w:rPr>
          <w:rFonts w:asciiTheme="minorHAnsi" w:hAnsiTheme="minorHAnsi"/>
          <w:sz w:val="22"/>
          <w:szCs w:val="22"/>
          <w:lang w:val="en-GB"/>
        </w:rPr>
        <w:t>the document.</w:t>
      </w:r>
    </w:p>
    <w:p w:rsidR="00E470B8" w:rsidRPr="000A6B0A" w:rsidRDefault="00E470B8" w:rsidP="000D2D45">
      <w:pPr>
        <w:spacing w:line="276" w:lineRule="auto"/>
        <w:jc w:val="both"/>
        <w:rPr>
          <w:rFonts w:asciiTheme="minorHAnsi" w:hAnsiTheme="minorHAnsi"/>
          <w:sz w:val="22"/>
          <w:szCs w:val="22"/>
          <w:lang w:val="en-GB"/>
        </w:rPr>
      </w:pPr>
    </w:p>
    <w:p w:rsidR="00E470B8" w:rsidRPr="0086605D" w:rsidRDefault="00CB7793">
      <w:pPr>
        <w:spacing w:line="276" w:lineRule="auto"/>
        <w:jc w:val="both"/>
        <w:rPr>
          <w:rFonts w:ascii="Times New Roman" w:hAnsi="Times New Roman" w:cs="Times New Roman"/>
          <w:sz w:val="24"/>
          <w:szCs w:val="24"/>
          <w:lang w:val="en-US" w:eastAsia="fr-FR"/>
        </w:rPr>
      </w:pPr>
      <w:r w:rsidRPr="000A6B0A">
        <w:rPr>
          <w:rFonts w:asciiTheme="minorHAnsi" w:hAnsiTheme="minorHAnsi"/>
          <w:sz w:val="22"/>
          <w:szCs w:val="22"/>
          <w:lang w:val="en-GB"/>
        </w:rPr>
        <w:t xml:space="preserve">In France, the regulatory body </w:t>
      </w:r>
      <w:r w:rsidR="007469F6" w:rsidRPr="000A6B0A">
        <w:rPr>
          <w:rFonts w:asciiTheme="minorHAnsi" w:hAnsiTheme="minorHAnsi"/>
          <w:sz w:val="22"/>
          <w:szCs w:val="22"/>
          <w:lang w:val="en-GB"/>
        </w:rPr>
        <w:t xml:space="preserve">by law </w:t>
      </w:r>
      <w:r w:rsidRPr="000A6B0A">
        <w:rPr>
          <w:rFonts w:asciiTheme="minorHAnsi" w:hAnsiTheme="minorHAnsi"/>
          <w:sz w:val="22"/>
          <w:szCs w:val="22"/>
          <w:lang w:val="en-GB"/>
        </w:rPr>
        <w:t>reviews</w:t>
      </w:r>
      <w:r w:rsidR="007469F6"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maintenance, renewal or enhancement investment programmes for projects over 200 million euros. This review takes the form of a non-binding opinion and should assess the financial viability of the project for the infrastructure </w:t>
      </w:r>
      <w:r w:rsidR="00490DD2" w:rsidRPr="000A6B0A">
        <w:rPr>
          <w:rFonts w:asciiTheme="minorHAnsi" w:hAnsiTheme="minorHAnsi"/>
          <w:sz w:val="22"/>
          <w:szCs w:val="22"/>
          <w:lang w:val="en-GB"/>
        </w:rPr>
        <w:t>manager</w:t>
      </w:r>
      <w:r w:rsidR="00C047DE">
        <w:rPr>
          <w:rStyle w:val="Appelnotedebasdep"/>
          <w:rFonts w:asciiTheme="minorHAnsi" w:hAnsiTheme="minorHAnsi"/>
          <w:sz w:val="22"/>
          <w:szCs w:val="22"/>
          <w:lang w:val="en-GB"/>
        </w:rPr>
        <w:footnoteReference w:id="78"/>
      </w:r>
      <w:r w:rsidRPr="000A6B0A">
        <w:rPr>
          <w:rFonts w:asciiTheme="minorHAnsi" w:hAnsiTheme="minorHAnsi"/>
          <w:sz w:val="22"/>
          <w:szCs w:val="22"/>
          <w:lang w:val="en-GB"/>
        </w:rPr>
        <w:t>.</w:t>
      </w:r>
    </w:p>
    <w:p w:rsidR="005D2D46" w:rsidRPr="000A6B0A" w:rsidRDefault="005D2D46" w:rsidP="000D2D45">
      <w:pPr>
        <w:spacing w:line="276" w:lineRule="auto"/>
        <w:jc w:val="both"/>
        <w:rPr>
          <w:rFonts w:asciiTheme="minorHAnsi" w:hAnsiTheme="minorHAnsi"/>
          <w:sz w:val="22"/>
          <w:szCs w:val="22"/>
          <w:lang w:val="en-GB"/>
        </w:rPr>
      </w:pPr>
    </w:p>
    <w:p w:rsidR="005D2D46" w:rsidRPr="000A6B0A" w:rsidRDefault="007C5748"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the UK, the regulatory body is involved at all stages of the investment lifecycle, on all capital expenditures of the </w:t>
      </w:r>
      <w:r w:rsidR="00D57EB0">
        <w:rPr>
          <w:rFonts w:asciiTheme="minorHAnsi" w:hAnsiTheme="minorHAnsi"/>
          <w:sz w:val="22"/>
          <w:szCs w:val="22"/>
          <w:lang w:val="en-GB"/>
        </w:rPr>
        <w:t>IM</w:t>
      </w:r>
      <w:r w:rsidRPr="000A6B0A">
        <w:rPr>
          <w:rFonts w:asciiTheme="minorHAnsi" w:hAnsiTheme="minorHAnsi"/>
          <w:sz w:val="22"/>
          <w:szCs w:val="22"/>
          <w:lang w:val="en-GB"/>
        </w:rPr>
        <w:t xml:space="preserve">, including maintenance, renewals and enhancements. Its role notably consists in determining the efficient price of the infrastructure investment at the beginning of the Control Period (5 year-period), monitoring it through-out development and delivery and then determining the actual value of addition to the Regulatory Asset Base. To do so, the UK rail regulator analyses a series of documents (e.g. Project Management Plan, Asset Management Plan, Estimate Report, benchmarking and unit rate analysis, Investment Paper, etc.). </w:t>
      </w:r>
      <w:r w:rsidR="00872E58" w:rsidRPr="000A6B0A">
        <w:rPr>
          <w:rFonts w:asciiTheme="minorHAnsi" w:hAnsiTheme="minorHAnsi"/>
          <w:sz w:val="22"/>
          <w:szCs w:val="22"/>
          <w:lang w:val="en-GB"/>
        </w:rPr>
        <w:t xml:space="preserve">The </w:t>
      </w:r>
      <w:r w:rsidR="00D57EB0">
        <w:rPr>
          <w:rFonts w:asciiTheme="minorHAnsi" w:hAnsiTheme="minorHAnsi"/>
          <w:sz w:val="22"/>
          <w:szCs w:val="22"/>
          <w:lang w:val="en-GB"/>
        </w:rPr>
        <w:t>IM</w:t>
      </w:r>
      <w:r w:rsidR="00872E58" w:rsidRPr="000A6B0A">
        <w:rPr>
          <w:rFonts w:asciiTheme="minorHAnsi" w:hAnsiTheme="minorHAnsi"/>
          <w:sz w:val="22"/>
          <w:szCs w:val="22"/>
          <w:lang w:val="en-GB"/>
        </w:rPr>
        <w:t xml:space="preserve"> is incentivized to deliver the project </w:t>
      </w:r>
      <w:r w:rsidR="00E470B8" w:rsidRPr="000A6B0A">
        <w:rPr>
          <w:rFonts w:asciiTheme="minorHAnsi" w:hAnsiTheme="minorHAnsi"/>
          <w:sz w:val="22"/>
          <w:szCs w:val="22"/>
          <w:lang w:val="en-GB"/>
        </w:rPr>
        <w:t>at the target price, which is set at the regulator’s efficient determination of price</w:t>
      </w:r>
      <w:r w:rsidR="00E470B8" w:rsidRPr="000A6B0A">
        <w:rPr>
          <w:rStyle w:val="Appelnotedebasdep"/>
          <w:rFonts w:asciiTheme="minorHAnsi" w:hAnsiTheme="minorHAnsi"/>
          <w:sz w:val="22"/>
          <w:szCs w:val="22"/>
          <w:lang w:val="en-GB"/>
        </w:rPr>
        <w:footnoteReference w:id="79"/>
      </w:r>
      <w:r w:rsidR="00E470B8" w:rsidRPr="000A6B0A">
        <w:rPr>
          <w:rFonts w:asciiTheme="minorHAnsi" w:hAnsiTheme="minorHAnsi"/>
          <w:sz w:val="22"/>
          <w:szCs w:val="22"/>
          <w:lang w:val="en-GB"/>
        </w:rPr>
        <w:t>. Any change to the target price throughout the lifecycle of the project is monitored and approved by the UK regulatory body.</w:t>
      </w:r>
    </w:p>
    <w:p w:rsidR="000D2F23" w:rsidRDefault="000D2F23" w:rsidP="000D2D45">
      <w:pPr>
        <w:spacing w:line="276" w:lineRule="auto"/>
        <w:jc w:val="both"/>
        <w:rPr>
          <w:rFonts w:asciiTheme="minorHAnsi" w:hAnsiTheme="minorHAnsi"/>
          <w:sz w:val="22"/>
          <w:szCs w:val="22"/>
          <w:lang w:val="en-GB"/>
        </w:rPr>
      </w:pPr>
    </w:p>
    <w:p w:rsidR="00094DB6" w:rsidRPr="000A6B0A" w:rsidRDefault="00094DB6" w:rsidP="000D2D45">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In Portugal, the regulatory body (AMT), might be consulted on the investment plan which is part of the activity plan that is to be approved by the Ministry of Finance and the Ministry responsible for the rail sector. The Infrastructure Investment Plan is part of the National Reform Program, which follows the Plan prepared by the IP designated by “Ferrovias 2020”, which is supported by PETI. At the time of the preparation of PETI, AMT did not exist however, IMT, the former regulatory body, participated in the road, sea and rail sector. According to AMT´s bylaws, it is the </w:t>
      </w:r>
      <w:r>
        <w:rPr>
          <w:rFonts w:asciiTheme="minorHAnsi" w:hAnsiTheme="minorHAnsi"/>
          <w:sz w:val="22"/>
          <w:szCs w:val="22"/>
          <w:lang w:val="en-GB"/>
        </w:rPr>
        <w:lastRenderedPageBreak/>
        <w:t>responsibility of this entity to issue recommendations on the drafting and modification of any public service provision agreements (article 5, 1, j)).</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Financing of the IM’s investment program</w:t>
      </w:r>
      <w:r w:rsidR="00420D3F" w:rsidRPr="000A6B0A">
        <w:rPr>
          <w:rFonts w:asciiTheme="minorHAnsi" w:hAnsiTheme="minorHAnsi"/>
          <w:i/>
          <w:sz w:val="22"/>
          <w:szCs w:val="22"/>
          <w:lang w:val="en-GB"/>
        </w:rPr>
        <w:t>me</w:t>
      </w:r>
      <w:r w:rsidRPr="000A6B0A">
        <w:rPr>
          <w:rFonts w:asciiTheme="minorHAnsi" w:hAnsiTheme="minorHAnsi"/>
          <w:i/>
          <w:sz w:val="22"/>
          <w:szCs w:val="22"/>
          <w:lang w:val="en-GB"/>
        </w:rPr>
        <w:t>s (replacement, expansion and maintenance investments)</w:t>
      </w:r>
    </w:p>
    <w:p w:rsidR="000D2D45" w:rsidRPr="000A6B0A" w:rsidRDefault="000D2D45" w:rsidP="000D2D45">
      <w:pPr>
        <w:spacing w:line="276" w:lineRule="auto"/>
        <w:jc w:val="both"/>
        <w:rPr>
          <w:rFonts w:asciiTheme="minorHAnsi" w:hAnsiTheme="minorHAnsi"/>
          <w:sz w:val="22"/>
          <w:szCs w:val="22"/>
          <w:lang w:val="en-GB"/>
        </w:rPr>
      </w:pPr>
    </w:p>
    <w:p w:rsidR="00603222" w:rsidRPr="000A6B0A" w:rsidRDefault="000D2D45"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are </w:t>
      </w:r>
      <w:r w:rsidR="00603222" w:rsidRPr="000A6B0A">
        <w:rPr>
          <w:rFonts w:asciiTheme="minorHAnsi" w:hAnsiTheme="minorHAnsi"/>
          <w:sz w:val="22"/>
          <w:szCs w:val="22"/>
          <w:lang w:val="en-GB"/>
        </w:rPr>
        <w:t xml:space="preserve">largely </w:t>
      </w:r>
      <w:r w:rsidRPr="000A6B0A">
        <w:rPr>
          <w:rFonts w:asciiTheme="minorHAnsi" w:hAnsiTheme="minorHAnsi"/>
          <w:sz w:val="22"/>
          <w:szCs w:val="22"/>
          <w:lang w:val="en-GB"/>
        </w:rPr>
        <w:t xml:space="preserve">financed either by governments (subsidies), </w:t>
      </w:r>
      <w:r w:rsidR="00771B6E" w:rsidRPr="000A6B0A">
        <w:rPr>
          <w:rFonts w:asciiTheme="minorHAnsi" w:hAnsiTheme="minorHAnsi"/>
          <w:sz w:val="22"/>
          <w:szCs w:val="22"/>
          <w:lang w:val="en-GB"/>
        </w:rPr>
        <w:t>railway undertakings</w:t>
      </w:r>
      <w:r w:rsidRPr="000A6B0A">
        <w:rPr>
          <w:rFonts w:asciiTheme="minorHAnsi" w:hAnsiTheme="minorHAnsi"/>
          <w:sz w:val="22"/>
          <w:szCs w:val="22"/>
          <w:lang w:val="en-GB"/>
        </w:rPr>
        <w:t xml:space="preserve"> (</w:t>
      </w:r>
      <w:r w:rsidR="005E4AEB" w:rsidRPr="000A6B0A">
        <w:rPr>
          <w:rFonts w:asciiTheme="minorHAnsi" w:hAnsiTheme="minorHAnsi"/>
          <w:sz w:val="22"/>
          <w:szCs w:val="22"/>
          <w:lang w:val="en-GB"/>
        </w:rPr>
        <w:t xml:space="preserve">infrastructure </w:t>
      </w:r>
      <w:r w:rsidRPr="000A6B0A">
        <w:rPr>
          <w:rFonts w:asciiTheme="minorHAnsi" w:hAnsiTheme="minorHAnsi"/>
          <w:sz w:val="22"/>
          <w:szCs w:val="22"/>
          <w:lang w:val="en-GB"/>
        </w:rPr>
        <w:t xml:space="preserve">charges) or the European Union (European funds). </w:t>
      </w:r>
      <w:r w:rsidR="00603222" w:rsidRPr="000A6B0A">
        <w:rPr>
          <w:rFonts w:asciiTheme="minorHAnsi" w:hAnsiTheme="minorHAnsi"/>
          <w:sz w:val="22"/>
          <w:szCs w:val="22"/>
          <w:lang w:val="en-GB"/>
        </w:rPr>
        <w:t xml:space="preserve">Some </w:t>
      </w:r>
      <w:r w:rsidR="00D57EB0">
        <w:rPr>
          <w:rFonts w:asciiTheme="minorHAnsi" w:hAnsiTheme="minorHAnsi"/>
          <w:sz w:val="22"/>
          <w:szCs w:val="22"/>
          <w:lang w:val="en-GB"/>
        </w:rPr>
        <w:t>IMs</w:t>
      </w:r>
      <w:r w:rsidR="00603222" w:rsidRPr="000A6B0A">
        <w:rPr>
          <w:rFonts w:asciiTheme="minorHAnsi" w:hAnsiTheme="minorHAnsi"/>
          <w:sz w:val="22"/>
          <w:szCs w:val="22"/>
          <w:lang w:val="en-GB"/>
        </w:rPr>
        <w:t xml:space="preserve"> also receive other income </w:t>
      </w:r>
      <w:r w:rsidR="00771B6E" w:rsidRPr="000A6B0A">
        <w:rPr>
          <w:rFonts w:asciiTheme="minorHAnsi" w:hAnsiTheme="minorHAnsi"/>
          <w:sz w:val="22"/>
          <w:szCs w:val="22"/>
          <w:lang w:val="en-GB"/>
        </w:rPr>
        <w:t xml:space="preserve">as in </w:t>
      </w:r>
      <w:r w:rsidR="00C047DE">
        <w:rPr>
          <w:rFonts w:asciiTheme="minorHAnsi" w:hAnsiTheme="minorHAnsi"/>
          <w:sz w:val="22"/>
          <w:szCs w:val="22"/>
          <w:lang w:val="en-GB"/>
        </w:rPr>
        <w:t xml:space="preserve">the </w:t>
      </w:r>
      <w:r w:rsidR="00771B6E" w:rsidRPr="000A6B0A">
        <w:rPr>
          <w:rFonts w:asciiTheme="minorHAnsi" w:hAnsiTheme="minorHAnsi"/>
          <w:sz w:val="22"/>
          <w:szCs w:val="22"/>
          <w:lang w:val="en-GB"/>
        </w:rPr>
        <w:t xml:space="preserve">UK for example, where </w:t>
      </w:r>
      <w:r w:rsidR="00603222" w:rsidRPr="000A6B0A">
        <w:rPr>
          <w:rFonts w:asciiTheme="minorHAnsi" w:hAnsiTheme="minorHAnsi"/>
          <w:sz w:val="22"/>
          <w:szCs w:val="22"/>
          <w:lang w:val="en-GB"/>
        </w:rPr>
        <w:t>Network Rail receives income from property.</w:t>
      </w:r>
      <w:r w:rsidR="003262BF" w:rsidRPr="000A6B0A">
        <w:rPr>
          <w:rFonts w:asciiTheme="minorHAnsi" w:hAnsiTheme="minorHAnsi"/>
          <w:sz w:val="22"/>
          <w:szCs w:val="22"/>
          <w:lang w:val="en-GB"/>
        </w:rPr>
        <w:t xml:space="preserve"> For</w:t>
      </w:r>
      <w:r w:rsidRPr="000A6B0A">
        <w:rPr>
          <w:rFonts w:asciiTheme="minorHAnsi" w:hAnsiTheme="minorHAnsi"/>
          <w:sz w:val="22"/>
          <w:szCs w:val="22"/>
          <w:lang w:val="en-GB"/>
        </w:rPr>
        <w:t xml:space="preserve"> all IRG-Rail members,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receive subsidies to finance </w:t>
      </w:r>
      <w:r w:rsidR="00C047DE">
        <w:rPr>
          <w:rFonts w:asciiTheme="minorHAnsi" w:hAnsiTheme="minorHAnsi"/>
          <w:sz w:val="22"/>
          <w:szCs w:val="22"/>
          <w:lang w:val="en-GB"/>
        </w:rPr>
        <w:t>their</w:t>
      </w:r>
      <w:r w:rsidR="00C047DE" w:rsidRPr="000A6B0A">
        <w:rPr>
          <w:rFonts w:asciiTheme="minorHAnsi" w:hAnsiTheme="minorHAnsi"/>
          <w:sz w:val="22"/>
          <w:szCs w:val="22"/>
          <w:lang w:val="en-GB"/>
        </w:rPr>
        <w:t xml:space="preserve"> </w:t>
      </w:r>
      <w:r w:rsidRPr="000A6B0A">
        <w:rPr>
          <w:rFonts w:asciiTheme="minorHAnsi" w:hAnsiTheme="minorHAnsi"/>
          <w:sz w:val="22"/>
          <w:szCs w:val="22"/>
          <w:lang w:val="en-GB"/>
        </w:rPr>
        <w:t>investment program</w:t>
      </w:r>
      <w:r w:rsidR="00CF0BB1" w:rsidRPr="000A6B0A">
        <w:rPr>
          <w:rFonts w:asciiTheme="minorHAnsi" w:hAnsiTheme="minorHAnsi"/>
          <w:sz w:val="22"/>
          <w:szCs w:val="22"/>
          <w:lang w:val="en-GB"/>
        </w:rPr>
        <w:t>me</w:t>
      </w:r>
      <w:r w:rsidRPr="000A6B0A">
        <w:rPr>
          <w:rFonts w:asciiTheme="minorHAnsi" w:hAnsiTheme="minorHAnsi"/>
          <w:sz w:val="22"/>
          <w:szCs w:val="22"/>
          <w:lang w:val="en-GB"/>
        </w:rPr>
        <w:t xml:space="preserve">s. In other countries, </w:t>
      </w:r>
      <w:r w:rsidR="00771B6E" w:rsidRPr="000A6B0A">
        <w:rPr>
          <w:rFonts w:asciiTheme="minorHAnsi" w:hAnsiTheme="minorHAnsi"/>
          <w:sz w:val="22"/>
          <w:szCs w:val="22"/>
          <w:lang w:val="en-GB"/>
        </w:rPr>
        <w:t>public grants represent</w:t>
      </w:r>
      <w:r w:rsidRPr="000A6B0A">
        <w:rPr>
          <w:rFonts w:asciiTheme="minorHAnsi" w:hAnsiTheme="minorHAnsi"/>
          <w:sz w:val="22"/>
          <w:szCs w:val="22"/>
          <w:lang w:val="en-GB"/>
        </w:rPr>
        <w:t xml:space="preserve"> a high percentage in terms of the costs that are covered. This percentage may change depending on the type of investment (replacement, expansion and maintenance). For example, in Finland approximately 90% of the IM’s expenses (including expansion investments) are funded by the State budget. In Greece, no less than 70% of the total costs are subsidized by the State</w:t>
      </w:r>
      <w:r w:rsidR="006D5296" w:rsidRPr="000A6B0A">
        <w:rPr>
          <w:rFonts w:asciiTheme="minorHAnsi" w:hAnsiTheme="minorHAnsi"/>
          <w:sz w:val="22"/>
          <w:szCs w:val="22"/>
          <w:lang w:val="en-GB"/>
        </w:rPr>
        <w:t>.</w:t>
      </w:r>
      <w:r w:rsidR="00D130AD" w:rsidRPr="000A6B0A">
        <w:rPr>
          <w:rFonts w:asciiTheme="minorHAnsi" w:hAnsiTheme="minorHAnsi"/>
          <w:sz w:val="22"/>
          <w:szCs w:val="22"/>
          <w:lang w:val="en-GB"/>
        </w:rPr>
        <w:t xml:space="preserve"> In Italy, State provides funds for investments in the conventional network (fully covered) and </w:t>
      </w:r>
      <w:r w:rsidR="00D57EB0">
        <w:rPr>
          <w:rFonts w:asciiTheme="minorHAnsi" w:hAnsiTheme="minorHAnsi"/>
          <w:sz w:val="22"/>
          <w:szCs w:val="22"/>
          <w:lang w:val="en-GB"/>
        </w:rPr>
        <w:t>high speed network</w:t>
      </w:r>
      <w:r w:rsidR="00D130AD" w:rsidRPr="000A6B0A">
        <w:rPr>
          <w:rFonts w:asciiTheme="minorHAnsi" w:hAnsiTheme="minorHAnsi"/>
          <w:sz w:val="22"/>
          <w:szCs w:val="22"/>
          <w:lang w:val="en-GB"/>
        </w:rPr>
        <w:t xml:space="preserve"> (partially); renewals and maintenance are </w:t>
      </w:r>
      <w:r w:rsidR="00B613A1">
        <w:rPr>
          <w:rFonts w:asciiTheme="minorHAnsi" w:hAnsiTheme="minorHAnsi"/>
          <w:sz w:val="22"/>
          <w:szCs w:val="22"/>
          <w:lang w:val="en-GB"/>
        </w:rPr>
        <w:t xml:space="preserve">partially </w:t>
      </w:r>
      <w:r w:rsidR="00D130AD" w:rsidRPr="000A6B0A">
        <w:rPr>
          <w:rFonts w:asciiTheme="minorHAnsi" w:hAnsiTheme="minorHAnsi"/>
          <w:sz w:val="22"/>
          <w:szCs w:val="22"/>
          <w:lang w:val="en-GB"/>
        </w:rPr>
        <w:t>financed by the State.</w:t>
      </w:r>
      <w:r w:rsidR="00094DB6">
        <w:rPr>
          <w:rFonts w:asciiTheme="minorHAnsi" w:hAnsiTheme="minorHAnsi"/>
          <w:sz w:val="22"/>
          <w:szCs w:val="22"/>
          <w:lang w:val="en-GB"/>
        </w:rPr>
        <w:t xml:space="preserve"> In Portugal, the IM (IP) benefits from a package of community funds - “Connecting Europe Facility (CEF)” (general component - contribution of 30% to 50% and cohesion component - 85% contribution) and Portugal 2020 Programme (85% contribution), plus the Juncker Plan and the contribution of </w:t>
      </w:r>
      <w:r w:rsidR="00094DB6" w:rsidRPr="0086605D">
        <w:rPr>
          <w:rFonts w:asciiTheme="minorHAnsi" w:hAnsiTheme="minorHAnsi"/>
          <w:i/>
          <w:sz w:val="22"/>
          <w:szCs w:val="22"/>
          <w:lang w:val="en-GB"/>
        </w:rPr>
        <w:t>Infraestruturas de Portugal</w:t>
      </w:r>
      <w:r w:rsidR="00094DB6">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Investment program</w:t>
      </w:r>
      <w:r w:rsidR="00420D3F" w:rsidRPr="000A6B0A">
        <w:rPr>
          <w:rFonts w:asciiTheme="minorHAnsi" w:hAnsiTheme="minorHAnsi"/>
          <w:sz w:val="22"/>
          <w:szCs w:val="22"/>
          <w:lang w:val="en-GB"/>
        </w:rPr>
        <w:t>me</w:t>
      </w:r>
      <w:r w:rsidRPr="000A6B0A">
        <w:rPr>
          <w:rFonts w:asciiTheme="minorHAnsi" w:hAnsiTheme="minorHAnsi"/>
          <w:sz w:val="22"/>
          <w:szCs w:val="22"/>
          <w:lang w:val="en-GB"/>
        </w:rPr>
        <w:t xml:space="preserve">s can also </w:t>
      </w:r>
      <w:r w:rsidR="006D5296" w:rsidRPr="000A6B0A">
        <w:rPr>
          <w:rFonts w:asciiTheme="minorHAnsi" w:hAnsiTheme="minorHAnsi"/>
          <w:sz w:val="22"/>
          <w:szCs w:val="22"/>
          <w:lang w:val="en-GB"/>
        </w:rPr>
        <w:t>be cofounded by European Union f</w:t>
      </w:r>
      <w:r w:rsidRPr="000A6B0A">
        <w:rPr>
          <w:rFonts w:asciiTheme="minorHAnsi" w:hAnsiTheme="minorHAnsi"/>
          <w:sz w:val="22"/>
          <w:szCs w:val="22"/>
          <w:lang w:val="en-GB"/>
        </w:rPr>
        <w:t xml:space="preserve">unds. This is the case for example in </w:t>
      </w:r>
      <w:r w:rsidR="00E018A6" w:rsidRPr="000A6B0A">
        <w:rPr>
          <w:rFonts w:asciiTheme="minorHAnsi" w:hAnsiTheme="minorHAnsi"/>
          <w:sz w:val="22"/>
          <w:szCs w:val="22"/>
          <w:lang w:val="en-GB"/>
        </w:rPr>
        <w:t xml:space="preserve">Denmark, </w:t>
      </w:r>
      <w:r w:rsidRPr="000A6B0A">
        <w:rPr>
          <w:rFonts w:asciiTheme="minorHAnsi" w:hAnsiTheme="minorHAnsi"/>
          <w:sz w:val="22"/>
          <w:szCs w:val="22"/>
          <w:lang w:val="en-GB"/>
        </w:rPr>
        <w:t>Hungary, Greece, Croatia, Ital</w:t>
      </w:r>
      <w:r w:rsidR="00313C58" w:rsidRPr="000A6B0A">
        <w:rPr>
          <w:rFonts w:asciiTheme="minorHAnsi" w:hAnsiTheme="minorHAnsi"/>
          <w:sz w:val="22"/>
          <w:szCs w:val="22"/>
          <w:lang w:val="en-GB"/>
        </w:rPr>
        <w:t>y</w:t>
      </w:r>
      <w:r w:rsidR="00A05C31" w:rsidRPr="000A6B0A">
        <w:rPr>
          <w:rFonts w:asciiTheme="minorHAnsi" w:hAnsiTheme="minorHAnsi"/>
          <w:sz w:val="22"/>
          <w:szCs w:val="22"/>
          <w:lang w:val="en-GB"/>
        </w:rPr>
        <w:t>, Germany</w:t>
      </w:r>
      <w:r w:rsidR="00FF7B6C">
        <w:rPr>
          <w:rFonts w:asciiTheme="minorHAnsi" w:hAnsiTheme="minorHAnsi"/>
          <w:sz w:val="22"/>
          <w:szCs w:val="22"/>
          <w:lang w:val="en-GB"/>
        </w:rPr>
        <w:t>,</w:t>
      </w:r>
      <w:r w:rsidR="00FF7B6C" w:rsidRPr="000A6B0A">
        <w:rPr>
          <w:rFonts w:asciiTheme="minorHAnsi" w:hAnsiTheme="minorHAnsi"/>
          <w:sz w:val="22"/>
          <w:szCs w:val="22"/>
          <w:lang w:val="en-GB"/>
        </w:rPr>
        <w:t xml:space="preserve"> </w:t>
      </w:r>
      <w:r w:rsidRPr="000A6B0A">
        <w:rPr>
          <w:rFonts w:asciiTheme="minorHAnsi" w:hAnsiTheme="minorHAnsi"/>
          <w:sz w:val="22"/>
          <w:szCs w:val="22"/>
          <w:lang w:val="en-GB"/>
        </w:rPr>
        <w:t>Poland</w:t>
      </w:r>
      <w:r w:rsidR="00FF7B6C">
        <w:rPr>
          <w:rFonts w:asciiTheme="minorHAnsi" w:hAnsiTheme="minorHAnsi"/>
          <w:sz w:val="22"/>
          <w:szCs w:val="22"/>
          <w:lang w:val="en-GB"/>
        </w:rPr>
        <w:t xml:space="preserve"> and Romania</w:t>
      </w:r>
      <w:r w:rsidRPr="000A6B0A">
        <w:rPr>
          <w:rFonts w:asciiTheme="minorHAnsi" w:hAnsiTheme="minorHAnsi"/>
          <w:sz w:val="22"/>
          <w:szCs w:val="22"/>
          <w:lang w:val="en-GB"/>
        </w:rPr>
        <w:t xml:space="preserve">. In Hungary, for example, the major renewal and upgrading works are mainly funded by EU funds. The maintenance cost, on the other hand, is financed using the IMs’ </w:t>
      </w:r>
      <w:r w:rsidR="00984D5C" w:rsidRPr="000A6B0A">
        <w:rPr>
          <w:rFonts w:asciiTheme="minorHAnsi" w:hAnsiTheme="minorHAnsi"/>
          <w:sz w:val="22"/>
          <w:szCs w:val="22"/>
          <w:lang w:val="en-GB"/>
        </w:rPr>
        <w:t>incomes.</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some countries, such as the Netherlands, Sweden, and Poland new infrastructure projects (expansion investments) are generally financed by the State, whereas renewals, </w:t>
      </w:r>
      <w:r w:rsidR="00D57EB0">
        <w:rPr>
          <w:rFonts w:asciiTheme="minorHAnsi" w:hAnsiTheme="minorHAnsi"/>
          <w:sz w:val="22"/>
          <w:szCs w:val="22"/>
          <w:lang w:val="en-GB"/>
        </w:rPr>
        <w:t>enhancements</w:t>
      </w:r>
      <w:r w:rsidR="00D57EB0"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and upgrades of the existent infrastructure are </w:t>
      </w:r>
      <w:r w:rsidR="00C54CEB">
        <w:rPr>
          <w:rFonts w:asciiTheme="minorHAnsi" w:hAnsiTheme="minorHAnsi"/>
          <w:sz w:val="22"/>
          <w:szCs w:val="22"/>
          <w:lang w:val="en-GB"/>
        </w:rPr>
        <w:t xml:space="preserve">also </w:t>
      </w:r>
      <w:r w:rsidRPr="000A6B0A">
        <w:rPr>
          <w:rFonts w:asciiTheme="minorHAnsi" w:hAnsiTheme="minorHAnsi"/>
          <w:sz w:val="22"/>
          <w:szCs w:val="22"/>
          <w:lang w:val="en-GB"/>
        </w:rPr>
        <w:t xml:space="preserve">financed by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also receives government subsidies to finance these expenses.</w:t>
      </w:r>
      <w:r w:rsidR="00F437F2" w:rsidRPr="000A6B0A">
        <w:rPr>
          <w:rFonts w:asciiTheme="minorHAnsi" w:hAnsiTheme="minorHAnsi"/>
          <w:sz w:val="22"/>
          <w:szCs w:val="22"/>
          <w:lang w:val="en-GB"/>
        </w:rPr>
        <w:t xml:space="preserve"> In Sweden, the </w:t>
      </w:r>
      <w:r w:rsidR="00D57EB0">
        <w:rPr>
          <w:rFonts w:asciiTheme="minorHAnsi" w:hAnsiTheme="minorHAnsi"/>
          <w:sz w:val="22"/>
          <w:szCs w:val="22"/>
          <w:lang w:val="en-GB"/>
        </w:rPr>
        <w:t>S</w:t>
      </w:r>
      <w:r w:rsidR="00F437F2" w:rsidRPr="000A6B0A">
        <w:rPr>
          <w:rFonts w:asciiTheme="minorHAnsi" w:hAnsiTheme="minorHAnsi"/>
          <w:sz w:val="22"/>
          <w:szCs w:val="22"/>
          <w:lang w:val="en-GB"/>
        </w:rPr>
        <w:t>tate essentially finances both development and maintenance of infrastructure. The principle has been that the government deducts track charges from the Swedish Transport Administ</w:t>
      </w:r>
      <w:r w:rsidR="00F437F2" w:rsidRPr="00A56CA1">
        <w:rPr>
          <w:rFonts w:asciiTheme="minorHAnsi" w:hAnsiTheme="minorHAnsi"/>
          <w:sz w:val="22"/>
          <w:szCs w:val="22"/>
          <w:lang w:val="en-GB"/>
        </w:rPr>
        <w:t>ration's appropriation needs and assigns the difference.</w:t>
      </w:r>
      <w:r w:rsidRPr="000A6B0A">
        <w:rPr>
          <w:rFonts w:asciiTheme="minorHAnsi" w:hAnsiTheme="minorHAnsi"/>
          <w:sz w:val="22"/>
          <w:szCs w:val="22"/>
          <w:lang w:val="en-GB"/>
        </w:rPr>
        <w:t xml:space="preserve"> In the Netherlands, for example, about 75-80% of the operation and maintenance costs incurred by the IM are financed by subsidies. In Sweden this percentage rises up to 85%. </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contrast with this subsidy allocation depending on the type of expense, the </w:t>
      </w:r>
      <w:r w:rsidR="00603222" w:rsidRPr="000A6B0A">
        <w:rPr>
          <w:rFonts w:asciiTheme="minorHAnsi" w:hAnsiTheme="minorHAnsi"/>
          <w:sz w:val="22"/>
          <w:szCs w:val="22"/>
          <w:lang w:val="en-GB"/>
        </w:rPr>
        <w:t>UK</w:t>
      </w:r>
      <w:r w:rsidRPr="000A6B0A">
        <w:rPr>
          <w:rFonts w:asciiTheme="minorHAnsi" w:hAnsiTheme="minorHAnsi"/>
          <w:sz w:val="22"/>
          <w:szCs w:val="22"/>
          <w:lang w:val="en-GB"/>
        </w:rPr>
        <w:t xml:space="preserv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 receives a grant from the </w:t>
      </w:r>
      <w:r w:rsidR="0020374A" w:rsidRPr="000A6B0A">
        <w:rPr>
          <w:rFonts w:asciiTheme="minorHAnsi" w:hAnsiTheme="minorHAnsi"/>
          <w:sz w:val="22"/>
          <w:szCs w:val="22"/>
          <w:lang w:val="en-GB"/>
        </w:rPr>
        <w:t>relevant governments</w:t>
      </w:r>
      <w:r w:rsidRPr="000A6B0A">
        <w:rPr>
          <w:rFonts w:asciiTheme="minorHAnsi" w:hAnsiTheme="minorHAnsi"/>
          <w:sz w:val="22"/>
          <w:szCs w:val="22"/>
          <w:lang w:val="en-GB"/>
        </w:rPr>
        <w:t xml:space="preserve"> which is not allocated towards a particular category of expenditure</w:t>
      </w:r>
      <w:r w:rsidR="0020374A" w:rsidRPr="000A6B0A">
        <w:rPr>
          <w:rFonts w:asciiTheme="minorHAnsi" w:hAnsiTheme="minorHAnsi"/>
          <w:sz w:val="22"/>
          <w:szCs w:val="22"/>
          <w:lang w:val="en-GB"/>
        </w:rPr>
        <w:t xml:space="preserve"> although the </w:t>
      </w:r>
      <w:r w:rsidR="00B613A1">
        <w:rPr>
          <w:rFonts w:asciiTheme="minorHAnsi" w:hAnsiTheme="minorHAnsi"/>
          <w:sz w:val="22"/>
          <w:szCs w:val="22"/>
          <w:lang w:val="en-GB"/>
        </w:rPr>
        <w:t xml:space="preserve">different </w:t>
      </w:r>
      <w:r w:rsidR="0020374A" w:rsidRPr="000A6B0A">
        <w:rPr>
          <w:rFonts w:asciiTheme="minorHAnsi" w:hAnsiTheme="minorHAnsi"/>
          <w:sz w:val="22"/>
          <w:szCs w:val="22"/>
          <w:lang w:val="en-GB"/>
        </w:rPr>
        <w:t>governments have specified what enhancements should be delivered within the same five year period of time</w:t>
      </w:r>
      <w:r w:rsidRPr="000A6B0A">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France, new investments are mainly financed by public subsidies and private funds (</w:t>
      </w:r>
      <w:r w:rsidR="006D5296" w:rsidRPr="000A6B0A">
        <w:rPr>
          <w:rFonts w:asciiTheme="minorHAnsi" w:hAnsiTheme="minorHAnsi"/>
          <w:sz w:val="22"/>
          <w:szCs w:val="22"/>
          <w:lang w:val="en-GB"/>
        </w:rPr>
        <w:t xml:space="preserve">private funds are predominant in the case of </w:t>
      </w:r>
      <w:r w:rsidRPr="000A6B0A">
        <w:rPr>
          <w:rFonts w:asciiTheme="minorHAnsi" w:hAnsiTheme="minorHAnsi"/>
          <w:sz w:val="22"/>
          <w:szCs w:val="22"/>
          <w:lang w:val="en-GB"/>
        </w:rPr>
        <w:t xml:space="preserve">concessions). The national legislation states that the investments incurred by the IM should not result in </w:t>
      </w:r>
      <w:r w:rsidR="006D5296" w:rsidRPr="000A6B0A">
        <w:rPr>
          <w:rFonts w:asciiTheme="minorHAnsi" w:hAnsiTheme="minorHAnsi"/>
          <w:sz w:val="22"/>
          <w:szCs w:val="22"/>
          <w:lang w:val="en-GB"/>
        </w:rPr>
        <w:t>“</w:t>
      </w:r>
      <w:r w:rsidRPr="000A6B0A">
        <w:rPr>
          <w:rFonts w:asciiTheme="minorHAnsi" w:hAnsiTheme="minorHAnsi"/>
          <w:sz w:val="22"/>
          <w:szCs w:val="22"/>
          <w:lang w:val="en-GB"/>
        </w:rPr>
        <w:t>bad</w:t>
      </w:r>
      <w:r w:rsidR="006D5296" w:rsidRPr="000A6B0A">
        <w:rPr>
          <w:rFonts w:asciiTheme="minorHAnsi" w:hAnsiTheme="minorHAnsi"/>
          <w:sz w:val="22"/>
          <w:szCs w:val="22"/>
          <w:lang w:val="en-GB"/>
        </w:rPr>
        <w:t>”</w:t>
      </w:r>
      <w:r w:rsidRPr="000A6B0A">
        <w:rPr>
          <w:rFonts w:asciiTheme="minorHAnsi" w:hAnsiTheme="minorHAnsi"/>
          <w:sz w:val="22"/>
          <w:szCs w:val="22"/>
          <w:lang w:val="en-GB"/>
        </w:rPr>
        <w:t xml:space="preserve"> debt. </w:t>
      </w:r>
    </w:p>
    <w:p w:rsidR="00094DB6" w:rsidRDefault="00094DB6" w:rsidP="000D2D45">
      <w:pPr>
        <w:spacing w:line="276" w:lineRule="auto"/>
        <w:jc w:val="both"/>
        <w:rPr>
          <w:rFonts w:asciiTheme="minorHAnsi" w:hAnsiTheme="minorHAnsi"/>
          <w:sz w:val="22"/>
          <w:szCs w:val="22"/>
          <w:lang w:val="en-GB"/>
        </w:rPr>
      </w:pPr>
    </w:p>
    <w:p w:rsidR="00094DB6" w:rsidRPr="000A6B0A" w:rsidRDefault="00094DB6" w:rsidP="000D2D45">
      <w:pPr>
        <w:spacing w:line="276" w:lineRule="auto"/>
        <w:jc w:val="both"/>
        <w:rPr>
          <w:rFonts w:asciiTheme="minorHAnsi" w:hAnsiTheme="minorHAnsi"/>
          <w:sz w:val="22"/>
          <w:szCs w:val="22"/>
          <w:lang w:val="en-GB"/>
        </w:rPr>
      </w:pPr>
      <w:r>
        <w:rPr>
          <w:rFonts w:asciiTheme="minorHAnsi" w:hAnsiTheme="minorHAnsi"/>
          <w:sz w:val="22"/>
          <w:szCs w:val="22"/>
          <w:lang w:val="en-GB"/>
        </w:rPr>
        <w:t>In Portugal, IM financing is guaranteed through share capital, State and European subsidies and loans. The majority of the loans are secured by the State, where the IM plays the role of “agent”. The financing of the infrastructure manager is done through: i) government subsidies - compensatory allowances - established in the 5-year Framework Contract for the National Railway Network signed between the State and IP; ii) railway undertakings -  the infrastructure charges; iii) loans contracted with the Portuguese State; iv) subsidies from different entities to finance IM investments programmes. The European Union funds contribute to cofound some programmes, some of them are non-refundable subsidies; v) the profits and/or dividends of the companies in which it participates, such as IP Telecom and IP Patrimony and vi) the provision of services in service facilities, such as freight terminals.</w:t>
      </w:r>
    </w:p>
    <w:p w:rsidR="00EB3AA8" w:rsidRPr="000A6B0A" w:rsidRDefault="00EB3AA8" w:rsidP="000D2D45">
      <w:pPr>
        <w:spacing w:line="276" w:lineRule="auto"/>
        <w:jc w:val="both"/>
        <w:rPr>
          <w:rFonts w:asciiTheme="minorHAnsi" w:hAnsiTheme="minorHAnsi"/>
          <w:sz w:val="22"/>
          <w:szCs w:val="22"/>
          <w:lang w:val="en-GB"/>
        </w:rPr>
      </w:pPr>
    </w:p>
    <w:p w:rsidR="00EB3AA8" w:rsidRPr="000A6B0A" w:rsidRDefault="00EB3AA8" w:rsidP="00EB3AA8">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The impact of public compensation on charges</w:t>
      </w:r>
    </w:p>
    <w:p w:rsidR="00EB3AA8" w:rsidRPr="000A6B0A" w:rsidRDefault="00EB3AA8" w:rsidP="00767DA1">
      <w:pPr>
        <w:spacing w:line="276" w:lineRule="auto"/>
        <w:jc w:val="both"/>
        <w:rPr>
          <w:rFonts w:asciiTheme="minorHAnsi" w:hAnsiTheme="minorHAnsi"/>
          <w:sz w:val="22"/>
          <w:szCs w:val="22"/>
          <w:lang w:val="en-GB"/>
        </w:rPr>
      </w:pPr>
    </w:p>
    <w:p w:rsidR="00597891" w:rsidRPr="000A6B0A" w:rsidRDefault="00597891" w:rsidP="00767DA1">
      <w:p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High level impact of public compensation on charges</w:t>
      </w:r>
    </w:p>
    <w:p w:rsidR="00EB3AA8" w:rsidRPr="000A6B0A" w:rsidRDefault="007F0DD3" w:rsidP="00767DA1">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railway networks regulated by IRG-Rail members are </w:t>
      </w:r>
      <w:r w:rsidR="00A153EE" w:rsidRPr="000A6B0A">
        <w:rPr>
          <w:rFonts w:asciiTheme="minorHAnsi" w:hAnsiTheme="minorHAnsi"/>
          <w:sz w:val="22"/>
          <w:szCs w:val="22"/>
          <w:lang w:val="en-GB"/>
        </w:rPr>
        <w:t>natural</w:t>
      </w:r>
      <w:r w:rsidRPr="000A6B0A">
        <w:rPr>
          <w:rFonts w:asciiTheme="minorHAnsi" w:hAnsiTheme="minorHAnsi"/>
          <w:sz w:val="22"/>
          <w:szCs w:val="22"/>
          <w:lang w:val="en-GB"/>
        </w:rPr>
        <w:t xml:space="preserve"> monopolies. As such, the </w:t>
      </w:r>
      <w:r w:rsidR="00B613A1">
        <w:rPr>
          <w:rFonts w:asciiTheme="minorHAnsi" w:hAnsiTheme="minorHAnsi"/>
          <w:sz w:val="22"/>
          <w:szCs w:val="22"/>
          <w:lang w:val="en-GB"/>
        </w:rPr>
        <w:t>issue</w:t>
      </w:r>
      <w:r w:rsidR="00B613A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of the recovery of costs and, in particular of fixed costs, is central. Directive 2012/34/EU </w:t>
      </w:r>
      <w:r w:rsidR="00597891" w:rsidRPr="000A6B0A">
        <w:rPr>
          <w:rFonts w:asciiTheme="minorHAnsi" w:hAnsiTheme="minorHAnsi"/>
          <w:sz w:val="22"/>
          <w:szCs w:val="22"/>
          <w:lang w:val="en-GB"/>
        </w:rPr>
        <w:t xml:space="preserve">foresees a charging system based on direct costs (Article 31(3)) to which mark-ups that </w:t>
      </w:r>
      <w:r w:rsidR="00237A8C" w:rsidRPr="000A6B0A">
        <w:rPr>
          <w:rFonts w:asciiTheme="minorHAnsi" w:hAnsiTheme="minorHAnsi"/>
          <w:sz w:val="22"/>
          <w:szCs w:val="22"/>
          <w:lang w:val="en-GB"/>
        </w:rPr>
        <w:t xml:space="preserve">consider the competitiveness of </w:t>
      </w:r>
      <w:r w:rsidR="00597891" w:rsidRPr="000A6B0A">
        <w:rPr>
          <w:rFonts w:asciiTheme="minorHAnsi" w:hAnsiTheme="minorHAnsi"/>
          <w:sz w:val="22"/>
          <w:szCs w:val="22"/>
          <w:lang w:val="en-GB"/>
        </w:rPr>
        <w:t>the market</w:t>
      </w:r>
      <w:r w:rsidR="00237A8C" w:rsidRPr="000A6B0A">
        <w:rPr>
          <w:rFonts w:asciiTheme="minorHAnsi" w:hAnsiTheme="minorHAnsi"/>
          <w:sz w:val="22"/>
          <w:szCs w:val="22"/>
          <w:lang w:val="en-GB"/>
        </w:rPr>
        <w:t xml:space="preserve"> segments </w:t>
      </w:r>
      <w:r w:rsidR="00597891" w:rsidRPr="000A6B0A">
        <w:rPr>
          <w:rFonts w:asciiTheme="minorHAnsi" w:hAnsiTheme="minorHAnsi"/>
          <w:sz w:val="22"/>
          <w:szCs w:val="22"/>
          <w:lang w:val="en-GB"/>
        </w:rPr>
        <w:t>may be added</w:t>
      </w:r>
      <w:r w:rsidR="00B5756A" w:rsidRPr="000A6B0A">
        <w:rPr>
          <w:rFonts w:asciiTheme="minorHAnsi" w:hAnsiTheme="minorHAnsi"/>
          <w:sz w:val="22"/>
          <w:szCs w:val="22"/>
          <w:lang w:val="en-GB"/>
        </w:rPr>
        <w:t xml:space="preserve">, in order to obtain full recovery of the costs incurred by the </w:t>
      </w:r>
      <w:r w:rsidR="00D57EB0">
        <w:rPr>
          <w:rFonts w:asciiTheme="minorHAnsi" w:hAnsiTheme="minorHAnsi"/>
          <w:sz w:val="22"/>
          <w:szCs w:val="22"/>
          <w:lang w:val="en-GB"/>
        </w:rPr>
        <w:t>IM</w:t>
      </w:r>
      <w:r w:rsidR="00597891" w:rsidRPr="000A6B0A">
        <w:rPr>
          <w:rFonts w:asciiTheme="minorHAnsi" w:hAnsiTheme="minorHAnsi"/>
          <w:sz w:val="22"/>
          <w:szCs w:val="22"/>
          <w:lang w:val="en-GB"/>
        </w:rPr>
        <w:t xml:space="preserve"> (Article 32(1)). In addition to this charging system, Article 8(2) allows EU Member States to provide the </w:t>
      </w:r>
      <w:r w:rsidR="00D57EB0">
        <w:rPr>
          <w:rFonts w:asciiTheme="minorHAnsi" w:hAnsiTheme="minorHAnsi"/>
          <w:sz w:val="22"/>
          <w:szCs w:val="22"/>
          <w:lang w:val="en-GB"/>
        </w:rPr>
        <w:t>IM</w:t>
      </w:r>
      <w:r w:rsidR="00597891" w:rsidRPr="000A6B0A">
        <w:rPr>
          <w:rFonts w:asciiTheme="minorHAnsi" w:hAnsiTheme="minorHAnsi"/>
          <w:sz w:val="22"/>
          <w:szCs w:val="22"/>
          <w:lang w:val="en-GB"/>
        </w:rPr>
        <w:t xml:space="preserve"> with public compensations. Given this framework, i</w:t>
      </w:r>
      <w:r w:rsidR="00EB3AA8" w:rsidRPr="000A6B0A">
        <w:rPr>
          <w:rFonts w:asciiTheme="minorHAnsi" w:hAnsiTheme="minorHAnsi"/>
          <w:sz w:val="22"/>
          <w:szCs w:val="22"/>
          <w:lang w:val="en-GB"/>
        </w:rPr>
        <w:t xml:space="preserve">t can be argued that the level of public compensation necessarily impacts the </w:t>
      </w:r>
      <w:r w:rsidR="00087A37" w:rsidRPr="000A6B0A">
        <w:rPr>
          <w:rFonts w:asciiTheme="minorHAnsi" w:hAnsiTheme="minorHAnsi"/>
          <w:sz w:val="22"/>
          <w:szCs w:val="22"/>
          <w:lang w:val="en-GB"/>
        </w:rPr>
        <w:t xml:space="preserve">overall </w:t>
      </w:r>
      <w:r w:rsidR="00EB3AA8" w:rsidRPr="000A6B0A">
        <w:rPr>
          <w:rFonts w:asciiTheme="minorHAnsi" w:hAnsiTheme="minorHAnsi"/>
          <w:sz w:val="22"/>
          <w:szCs w:val="22"/>
          <w:lang w:val="en-GB"/>
        </w:rPr>
        <w:t xml:space="preserve">level of charges paid by railway undertakings. Indeed, the Recast does not impose on Member States to levy mark-ups in accordance with Article 32(1). Thus, depending on the level of public compensation provided to the </w:t>
      </w:r>
      <w:r w:rsidR="00D57EB0">
        <w:rPr>
          <w:rFonts w:asciiTheme="minorHAnsi" w:hAnsiTheme="minorHAnsi"/>
          <w:sz w:val="22"/>
          <w:szCs w:val="22"/>
          <w:lang w:val="en-GB"/>
        </w:rPr>
        <w:t>IM</w:t>
      </w:r>
      <w:r w:rsidR="00EB3AA8" w:rsidRPr="000A6B0A">
        <w:rPr>
          <w:rFonts w:asciiTheme="minorHAnsi" w:hAnsiTheme="minorHAnsi"/>
          <w:sz w:val="22"/>
          <w:szCs w:val="22"/>
          <w:lang w:val="en-GB"/>
        </w:rPr>
        <w:t xml:space="preserve">, charges may be set at the directly incurred costs or mark-ups may be introduced to cover a larger share of the full costs of the network. </w:t>
      </w:r>
    </w:p>
    <w:p w:rsidR="00EB3AA8" w:rsidRPr="000A6B0A" w:rsidRDefault="00EB3AA8" w:rsidP="00767DA1">
      <w:pPr>
        <w:spacing w:line="276" w:lineRule="auto"/>
        <w:jc w:val="both"/>
        <w:rPr>
          <w:rFonts w:asciiTheme="minorHAnsi" w:hAnsiTheme="minorHAnsi"/>
          <w:sz w:val="22"/>
          <w:szCs w:val="22"/>
          <w:lang w:val="en-GB"/>
        </w:rPr>
      </w:pPr>
    </w:p>
    <w:p w:rsidR="00597891" w:rsidRPr="000A6B0A" w:rsidRDefault="001951E7" w:rsidP="00767DA1">
      <w:p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The impact of public compensations on direct costs and mark-ups</w:t>
      </w:r>
    </w:p>
    <w:p w:rsidR="001951E7" w:rsidRDefault="00087A37" w:rsidP="00767DA1">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Concerning individual charges, the level of directly incurred costs in a given country </w:t>
      </w:r>
      <w:r w:rsidR="00CB33C3" w:rsidRPr="000A6B0A">
        <w:rPr>
          <w:rFonts w:asciiTheme="minorHAnsi" w:hAnsiTheme="minorHAnsi"/>
          <w:sz w:val="22"/>
          <w:szCs w:val="22"/>
          <w:lang w:val="en-GB"/>
        </w:rPr>
        <w:t>must</w:t>
      </w:r>
      <w:r w:rsidRPr="000A6B0A">
        <w:rPr>
          <w:rFonts w:asciiTheme="minorHAnsi" w:hAnsiTheme="minorHAnsi"/>
          <w:sz w:val="22"/>
          <w:szCs w:val="22"/>
          <w:lang w:val="en-GB"/>
        </w:rPr>
        <w:t xml:space="preserve"> not be impacted by public compensation as this charge should only reflect the additional costs incurred as a result of </w:t>
      </w:r>
      <w:r w:rsidR="00B5756A" w:rsidRPr="000A6B0A">
        <w:rPr>
          <w:rFonts w:asciiTheme="minorHAnsi" w:hAnsiTheme="minorHAnsi"/>
          <w:sz w:val="22"/>
          <w:szCs w:val="22"/>
          <w:lang w:val="en-GB"/>
        </w:rPr>
        <w:t>operating the train service</w:t>
      </w:r>
      <w:r w:rsidRPr="000A6B0A">
        <w:rPr>
          <w:rFonts w:asciiTheme="minorHAnsi" w:hAnsiTheme="minorHAnsi"/>
          <w:sz w:val="22"/>
          <w:szCs w:val="22"/>
          <w:lang w:val="en-GB"/>
        </w:rPr>
        <w:t xml:space="preserve">. </w:t>
      </w:r>
      <w:r w:rsidR="00EB3AA8" w:rsidRPr="000A6B0A">
        <w:rPr>
          <w:rFonts w:asciiTheme="minorHAnsi" w:hAnsiTheme="minorHAnsi"/>
          <w:sz w:val="22"/>
          <w:szCs w:val="22"/>
          <w:lang w:val="en-GB"/>
        </w:rPr>
        <w:t>For countries which levy mark-ups</w:t>
      </w:r>
      <w:r w:rsidR="0006633F" w:rsidRPr="000A6B0A">
        <w:rPr>
          <w:rFonts w:asciiTheme="minorHAnsi" w:hAnsiTheme="minorHAnsi"/>
          <w:sz w:val="22"/>
          <w:szCs w:val="22"/>
          <w:lang w:val="en-GB"/>
        </w:rPr>
        <w:t xml:space="preserve"> and in the context of full recovery of costs incurred by the </w:t>
      </w:r>
      <w:r w:rsidR="00B542BB">
        <w:rPr>
          <w:rFonts w:asciiTheme="minorHAnsi" w:hAnsiTheme="minorHAnsi"/>
          <w:sz w:val="22"/>
          <w:szCs w:val="22"/>
          <w:lang w:val="en-GB"/>
        </w:rPr>
        <w:t>IMs</w:t>
      </w:r>
      <w:r w:rsidR="00EB3AA8" w:rsidRPr="000A6B0A">
        <w:rPr>
          <w:rFonts w:asciiTheme="minorHAnsi" w:hAnsiTheme="minorHAnsi"/>
          <w:sz w:val="22"/>
          <w:szCs w:val="22"/>
          <w:lang w:val="en-GB"/>
        </w:rPr>
        <w:t xml:space="preserve">, two diverging approaches may be used to set </w:t>
      </w:r>
      <w:r w:rsidR="007D33B5" w:rsidRPr="000A6B0A">
        <w:rPr>
          <w:rFonts w:asciiTheme="minorHAnsi" w:hAnsiTheme="minorHAnsi"/>
          <w:sz w:val="22"/>
          <w:szCs w:val="22"/>
          <w:lang w:val="en-GB"/>
        </w:rPr>
        <w:t>the level of</w:t>
      </w:r>
      <w:r w:rsidR="00C74656" w:rsidRPr="000A6B0A">
        <w:rPr>
          <w:rFonts w:asciiTheme="minorHAnsi" w:hAnsiTheme="minorHAnsi"/>
          <w:sz w:val="22"/>
          <w:szCs w:val="22"/>
          <w:lang w:val="en-GB"/>
        </w:rPr>
        <w:t xml:space="preserve"> these </w:t>
      </w:r>
      <w:r w:rsidR="007D33B5" w:rsidRPr="000A6B0A">
        <w:rPr>
          <w:rFonts w:asciiTheme="minorHAnsi" w:hAnsiTheme="minorHAnsi"/>
          <w:sz w:val="22"/>
          <w:szCs w:val="22"/>
          <w:lang w:val="en-GB"/>
        </w:rPr>
        <w:t>charges</w:t>
      </w:r>
      <w:r w:rsidR="00EB3AA8" w:rsidRPr="000A6B0A">
        <w:rPr>
          <w:rFonts w:asciiTheme="minorHAnsi" w:hAnsiTheme="minorHAnsi"/>
          <w:sz w:val="22"/>
          <w:szCs w:val="22"/>
          <w:lang w:val="en-GB"/>
        </w:rPr>
        <w:t xml:space="preserve">. In countries such as Spain, </w:t>
      </w:r>
      <w:r w:rsidR="00A153EE" w:rsidRPr="000A6B0A">
        <w:rPr>
          <w:rFonts w:asciiTheme="minorHAnsi" w:hAnsiTheme="minorHAnsi"/>
          <w:sz w:val="22"/>
          <w:szCs w:val="22"/>
          <w:lang w:val="en-GB"/>
        </w:rPr>
        <w:t xml:space="preserve">Finland, </w:t>
      </w:r>
      <w:r w:rsidR="00EB3AA8" w:rsidRPr="000A6B0A">
        <w:rPr>
          <w:rFonts w:asciiTheme="minorHAnsi" w:hAnsiTheme="minorHAnsi"/>
          <w:sz w:val="22"/>
          <w:szCs w:val="22"/>
          <w:lang w:val="en-GB"/>
        </w:rPr>
        <w:t>Slovakia or</w:t>
      </w:r>
      <w:r w:rsidR="007D33B5" w:rsidRPr="000A6B0A">
        <w:rPr>
          <w:rFonts w:asciiTheme="minorHAnsi" w:hAnsiTheme="minorHAnsi"/>
          <w:sz w:val="22"/>
          <w:szCs w:val="22"/>
          <w:lang w:val="en-GB"/>
        </w:rPr>
        <w:t xml:space="preserve"> Greece, the level of charges is </w:t>
      </w:r>
      <w:r w:rsidR="0006633F" w:rsidRPr="000A6B0A">
        <w:rPr>
          <w:rFonts w:asciiTheme="minorHAnsi" w:hAnsiTheme="minorHAnsi"/>
          <w:sz w:val="22"/>
          <w:szCs w:val="22"/>
          <w:lang w:val="en-GB"/>
        </w:rPr>
        <w:t>calculated</w:t>
      </w:r>
      <w:r w:rsidR="007D33B5" w:rsidRPr="000A6B0A">
        <w:rPr>
          <w:rFonts w:asciiTheme="minorHAnsi" w:hAnsiTheme="minorHAnsi"/>
          <w:sz w:val="22"/>
          <w:szCs w:val="22"/>
          <w:lang w:val="en-GB"/>
        </w:rPr>
        <w:t xml:space="preserve"> in a first step. Then, </w:t>
      </w:r>
      <w:r w:rsidR="00B67989" w:rsidRPr="000A6B0A">
        <w:rPr>
          <w:rFonts w:asciiTheme="minorHAnsi" w:hAnsiTheme="minorHAnsi"/>
          <w:sz w:val="22"/>
          <w:szCs w:val="22"/>
          <w:lang w:val="en-GB"/>
        </w:rPr>
        <w:t>public</w:t>
      </w:r>
      <w:r w:rsidR="007D33B5" w:rsidRPr="000A6B0A">
        <w:rPr>
          <w:rFonts w:asciiTheme="minorHAnsi" w:hAnsiTheme="minorHAnsi"/>
          <w:sz w:val="22"/>
          <w:szCs w:val="22"/>
          <w:lang w:val="en-GB"/>
        </w:rPr>
        <w:t xml:space="preserve"> compensations</w:t>
      </w:r>
      <w:r w:rsidR="00B67989" w:rsidRPr="000A6B0A">
        <w:rPr>
          <w:rFonts w:asciiTheme="minorHAnsi" w:hAnsiTheme="minorHAnsi"/>
          <w:sz w:val="22"/>
          <w:szCs w:val="22"/>
          <w:lang w:val="en-GB"/>
        </w:rPr>
        <w:t>, and in particular government subsidies,</w:t>
      </w:r>
      <w:r w:rsidR="007D33B5" w:rsidRPr="000A6B0A">
        <w:rPr>
          <w:rFonts w:asciiTheme="minorHAnsi" w:hAnsiTheme="minorHAnsi"/>
          <w:sz w:val="22"/>
          <w:szCs w:val="22"/>
          <w:lang w:val="en-GB"/>
        </w:rPr>
        <w:t xml:space="preserve"> are </w:t>
      </w:r>
      <w:r w:rsidR="0006633F" w:rsidRPr="000A6B0A">
        <w:rPr>
          <w:rFonts w:asciiTheme="minorHAnsi" w:hAnsiTheme="minorHAnsi"/>
          <w:sz w:val="22"/>
          <w:szCs w:val="22"/>
          <w:lang w:val="en-GB"/>
        </w:rPr>
        <w:t>set</w:t>
      </w:r>
      <w:r w:rsidR="007D33B5" w:rsidRPr="000A6B0A">
        <w:rPr>
          <w:rFonts w:asciiTheme="minorHAnsi" w:hAnsiTheme="minorHAnsi"/>
          <w:sz w:val="22"/>
          <w:szCs w:val="22"/>
          <w:lang w:val="en-GB"/>
        </w:rPr>
        <w:t xml:space="preserve"> to balance the accounts of the </w:t>
      </w:r>
      <w:r w:rsidR="00B542BB">
        <w:rPr>
          <w:rFonts w:asciiTheme="minorHAnsi" w:hAnsiTheme="minorHAnsi"/>
          <w:sz w:val="22"/>
          <w:szCs w:val="22"/>
          <w:lang w:val="en-GB"/>
        </w:rPr>
        <w:t>IMs</w:t>
      </w:r>
      <w:r w:rsidR="007D33B5" w:rsidRPr="000A6B0A">
        <w:rPr>
          <w:rFonts w:asciiTheme="minorHAnsi" w:hAnsiTheme="minorHAnsi"/>
          <w:sz w:val="22"/>
          <w:szCs w:val="22"/>
          <w:lang w:val="en-GB"/>
        </w:rPr>
        <w:t xml:space="preserve">. An opposite approach is taken in </w:t>
      </w:r>
      <w:r w:rsidR="00B5756A" w:rsidRPr="000A6B0A">
        <w:rPr>
          <w:rFonts w:asciiTheme="minorHAnsi" w:hAnsiTheme="minorHAnsi"/>
          <w:sz w:val="22"/>
          <w:szCs w:val="22"/>
          <w:lang w:val="en-GB"/>
        </w:rPr>
        <w:t xml:space="preserve">Italy, </w:t>
      </w:r>
      <w:r w:rsidR="00B67989" w:rsidRPr="000A6B0A">
        <w:rPr>
          <w:rFonts w:asciiTheme="minorHAnsi" w:hAnsiTheme="minorHAnsi"/>
          <w:sz w:val="22"/>
          <w:szCs w:val="22"/>
          <w:lang w:val="en-GB"/>
        </w:rPr>
        <w:t>the UK or Germany. In these countries,</w:t>
      </w:r>
      <w:r w:rsidR="007D33B5" w:rsidRPr="000A6B0A">
        <w:rPr>
          <w:rFonts w:asciiTheme="minorHAnsi" w:hAnsiTheme="minorHAnsi"/>
          <w:sz w:val="22"/>
          <w:szCs w:val="22"/>
          <w:lang w:val="en-GB"/>
        </w:rPr>
        <w:t xml:space="preserve"> the level of public compensation is set first and the level of charges is then derived so as to cover the full costs incurred by the </w:t>
      </w:r>
      <w:r w:rsidR="00B542BB">
        <w:rPr>
          <w:rFonts w:asciiTheme="minorHAnsi" w:hAnsiTheme="minorHAnsi"/>
          <w:sz w:val="22"/>
          <w:szCs w:val="22"/>
          <w:lang w:val="en-GB"/>
        </w:rPr>
        <w:t>IMs</w:t>
      </w:r>
      <w:r w:rsidR="007D33B5" w:rsidRPr="000A6B0A">
        <w:rPr>
          <w:rFonts w:asciiTheme="minorHAnsi" w:hAnsiTheme="minorHAnsi"/>
          <w:sz w:val="22"/>
          <w:szCs w:val="22"/>
          <w:lang w:val="en-GB"/>
        </w:rPr>
        <w:t xml:space="preserve">. </w:t>
      </w:r>
      <w:r w:rsidR="00AD16A2" w:rsidRPr="000A6B0A">
        <w:rPr>
          <w:rFonts w:asciiTheme="minorHAnsi" w:hAnsiTheme="minorHAnsi"/>
          <w:sz w:val="22"/>
          <w:szCs w:val="22"/>
          <w:lang w:val="en-GB"/>
        </w:rPr>
        <w:t xml:space="preserve">Using one methodology </w:t>
      </w:r>
      <w:r w:rsidR="0079583D" w:rsidRPr="000A6B0A">
        <w:rPr>
          <w:rFonts w:asciiTheme="minorHAnsi" w:hAnsiTheme="minorHAnsi"/>
          <w:sz w:val="22"/>
          <w:szCs w:val="22"/>
          <w:lang w:val="en-GB"/>
        </w:rPr>
        <w:t>instead of the</w:t>
      </w:r>
      <w:r w:rsidR="00AD16A2" w:rsidRPr="000A6B0A">
        <w:rPr>
          <w:rFonts w:asciiTheme="minorHAnsi" w:hAnsiTheme="minorHAnsi"/>
          <w:sz w:val="22"/>
          <w:szCs w:val="22"/>
          <w:lang w:val="en-GB"/>
        </w:rPr>
        <w:t xml:space="preserve"> other to calculate mark-ups is likely to impact their level.</w:t>
      </w:r>
      <w:r w:rsidR="00B5756A" w:rsidRPr="000A6B0A">
        <w:rPr>
          <w:rFonts w:asciiTheme="minorHAnsi" w:hAnsiTheme="minorHAnsi"/>
          <w:sz w:val="22"/>
          <w:szCs w:val="22"/>
          <w:lang w:val="en-GB"/>
        </w:rPr>
        <w:t xml:space="preserve"> In Italy, the length of the regulatory period is set at 5 years that is also the duration of the contract between the State and the IM for the public subsidies for investments and maintenance.</w:t>
      </w:r>
    </w:p>
    <w:p w:rsidR="00B35F2F" w:rsidRPr="000A6B0A" w:rsidRDefault="00B35F2F" w:rsidP="00767DA1">
      <w:pPr>
        <w:spacing w:line="276" w:lineRule="auto"/>
        <w:jc w:val="both"/>
        <w:rPr>
          <w:rFonts w:asciiTheme="minorHAnsi" w:hAnsiTheme="minorHAnsi"/>
          <w:sz w:val="22"/>
          <w:szCs w:val="22"/>
          <w:lang w:val="en-GB"/>
        </w:rPr>
      </w:pPr>
    </w:p>
    <w:p w:rsidR="001951E7" w:rsidRPr="000A6B0A" w:rsidRDefault="001951E7" w:rsidP="00767DA1">
      <w:p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The impact of public compensations on amounts paid by RUs</w:t>
      </w:r>
    </w:p>
    <w:p w:rsidR="007832C8" w:rsidRPr="000A6B0A" w:rsidRDefault="0079583D" w:rsidP="00767DA1">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P</w:t>
      </w:r>
      <w:r w:rsidR="00AD16A2" w:rsidRPr="000A6B0A">
        <w:rPr>
          <w:rFonts w:asciiTheme="minorHAnsi" w:hAnsiTheme="minorHAnsi"/>
          <w:sz w:val="22"/>
          <w:szCs w:val="22"/>
          <w:lang w:val="en-GB"/>
        </w:rPr>
        <w:t>ublic compensations may</w:t>
      </w:r>
      <w:r w:rsidRPr="000A6B0A">
        <w:rPr>
          <w:rFonts w:asciiTheme="minorHAnsi" w:hAnsiTheme="minorHAnsi"/>
          <w:sz w:val="22"/>
          <w:szCs w:val="22"/>
          <w:lang w:val="en-GB"/>
        </w:rPr>
        <w:t xml:space="preserve"> also</w:t>
      </w:r>
      <w:r w:rsidR="00AD16A2" w:rsidRPr="000A6B0A">
        <w:rPr>
          <w:rFonts w:asciiTheme="minorHAnsi" w:hAnsiTheme="minorHAnsi"/>
          <w:sz w:val="22"/>
          <w:szCs w:val="22"/>
          <w:lang w:val="en-GB"/>
        </w:rPr>
        <w:t xml:space="preserve"> be used to impact the amounts paid by railway undertakings</w:t>
      </w:r>
      <w:r w:rsidR="00B613A1">
        <w:rPr>
          <w:rFonts w:asciiTheme="minorHAnsi" w:hAnsiTheme="minorHAnsi"/>
          <w:sz w:val="22"/>
          <w:szCs w:val="22"/>
          <w:lang w:val="en-GB"/>
        </w:rPr>
        <w:t xml:space="preserve"> (RUs)</w:t>
      </w:r>
      <w:r w:rsidRPr="000A6B0A">
        <w:rPr>
          <w:rFonts w:asciiTheme="minorHAnsi" w:hAnsiTheme="minorHAnsi"/>
          <w:sz w:val="22"/>
          <w:szCs w:val="22"/>
          <w:lang w:val="en-GB"/>
        </w:rPr>
        <w:t>,</w:t>
      </w:r>
      <w:r w:rsidR="00AD16A2" w:rsidRPr="000A6B0A">
        <w:rPr>
          <w:rFonts w:asciiTheme="minorHAnsi" w:hAnsiTheme="minorHAnsi"/>
          <w:sz w:val="22"/>
          <w:szCs w:val="22"/>
          <w:lang w:val="en-GB"/>
        </w:rPr>
        <w:t xml:space="preserve"> rather than the level of charges. This is </w:t>
      </w:r>
      <w:r w:rsidR="0006633F" w:rsidRPr="000A6B0A">
        <w:rPr>
          <w:rFonts w:asciiTheme="minorHAnsi" w:hAnsiTheme="minorHAnsi"/>
          <w:sz w:val="22"/>
          <w:szCs w:val="22"/>
          <w:lang w:val="en-GB"/>
        </w:rPr>
        <w:t xml:space="preserve">for instance </w:t>
      </w:r>
      <w:r w:rsidR="00AD16A2" w:rsidRPr="000A6B0A">
        <w:rPr>
          <w:rFonts w:asciiTheme="minorHAnsi" w:hAnsiTheme="minorHAnsi"/>
          <w:sz w:val="22"/>
          <w:szCs w:val="22"/>
          <w:lang w:val="en-GB"/>
        </w:rPr>
        <w:t xml:space="preserve">the case in Italy and France where </w:t>
      </w:r>
      <w:r w:rsidR="00AD16A2" w:rsidRPr="000A6B0A">
        <w:rPr>
          <w:rFonts w:asciiTheme="minorHAnsi" w:hAnsiTheme="minorHAnsi"/>
          <w:sz w:val="22"/>
          <w:szCs w:val="22"/>
          <w:lang w:val="en-GB"/>
        </w:rPr>
        <w:lastRenderedPageBreak/>
        <w:t>governments have chosen to support the railway freight sector.</w:t>
      </w:r>
      <w:r w:rsidR="008B116C" w:rsidRPr="000A6B0A">
        <w:rPr>
          <w:rFonts w:asciiTheme="minorHAnsi" w:hAnsiTheme="minorHAnsi"/>
          <w:sz w:val="22"/>
          <w:szCs w:val="22"/>
          <w:lang w:val="en-GB"/>
        </w:rPr>
        <w:t xml:space="preserve"> In France, the governmental support applies to all freight traffic</w:t>
      </w:r>
      <w:r w:rsidR="00495EEB">
        <w:rPr>
          <w:rFonts w:asciiTheme="minorHAnsi" w:hAnsiTheme="minorHAnsi"/>
          <w:sz w:val="22"/>
          <w:szCs w:val="22"/>
          <w:lang w:val="en-GB"/>
        </w:rPr>
        <w:t>,</w:t>
      </w:r>
      <w:r w:rsidR="008B116C" w:rsidRPr="000A6B0A">
        <w:rPr>
          <w:rFonts w:asciiTheme="minorHAnsi" w:hAnsiTheme="minorHAnsi"/>
          <w:sz w:val="22"/>
          <w:szCs w:val="22"/>
          <w:lang w:val="en-GB"/>
        </w:rPr>
        <w:t xml:space="preserve"> while in Italy it only concerns freight traffic towards or from the </w:t>
      </w:r>
      <w:r w:rsidR="00495EEB">
        <w:rPr>
          <w:rFonts w:asciiTheme="minorHAnsi" w:hAnsiTheme="minorHAnsi"/>
          <w:sz w:val="22"/>
          <w:szCs w:val="22"/>
          <w:lang w:val="en-GB"/>
        </w:rPr>
        <w:t>s</w:t>
      </w:r>
      <w:r w:rsidR="008B116C" w:rsidRPr="000A6B0A">
        <w:rPr>
          <w:rFonts w:asciiTheme="minorHAnsi" w:hAnsiTheme="minorHAnsi"/>
          <w:sz w:val="22"/>
          <w:szCs w:val="22"/>
          <w:lang w:val="en-GB"/>
        </w:rPr>
        <w:t>outh</w:t>
      </w:r>
      <w:r w:rsidR="0006633F" w:rsidRPr="000A6B0A">
        <w:rPr>
          <w:rFonts w:asciiTheme="minorHAnsi" w:hAnsiTheme="minorHAnsi"/>
          <w:sz w:val="22"/>
          <w:szCs w:val="22"/>
          <w:lang w:val="en-GB"/>
        </w:rPr>
        <w:t xml:space="preserve"> of the country</w:t>
      </w:r>
      <w:r w:rsidR="008B116C" w:rsidRPr="000A6B0A">
        <w:rPr>
          <w:rFonts w:asciiTheme="minorHAnsi" w:hAnsiTheme="minorHAnsi"/>
          <w:sz w:val="22"/>
          <w:szCs w:val="22"/>
          <w:lang w:val="en-GB"/>
        </w:rPr>
        <w:t xml:space="preserve">. </w:t>
      </w:r>
      <w:r w:rsidR="0006633F" w:rsidRPr="000A6B0A">
        <w:rPr>
          <w:rFonts w:asciiTheme="minorHAnsi" w:hAnsiTheme="minorHAnsi"/>
          <w:sz w:val="22"/>
          <w:szCs w:val="22"/>
          <w:lang w:val="en-GB"/>
        </w:rPr>
        <w:t>In both states, t</w:t>
      </w:r>
      <w:r w:rsidR="008B116C" w:rsidRPr="000A6B0A">
        <w:rPr>
          <w:rFonts w:asciiTheme="minorHAnsi" w:hAnsiTheme="minorHAnsi"/>
          <w:sz w:val="22"/>
          <w:szCs w:val="22"/>
          <w:lang w:val="en-GB"/>
        </w:rPr>
        <w:t>he concerned</w:t>
      </w:r>
      <w:r w:rsidR="00AD16A2" w:rsidRPr="000A6B0A">
        <w:rPr>
          <w:rFonts w:asciiTheme="minorHAnsi" w:hAnsiTheme="minorHAnsi"/>
          <w:sz w:val="22"/>
          <w:szCs w:val="22"/>
          <w:lang w:val="en-GB"/>
        </w:rPr>
        <w:t xml:space="preserve"> </w:t>
      </w:r>
      <w:r w:rsidR="008B116C" w:rsidRPr="000A6B0A">
        <w:rPr>
          <w:rFonts w:asciiTheme="minorHAnsi" w:hAnsiTheme="minorHAnsi"/>
          <w:sz w:val="22"/>
          <w:szCs w:val="22"/>
          <w:lang w:val="en-GB"/>
        </w:rPr>
        <w:t xml:space="preserve">freight services do not pay the full charges set by the </w:t>
      </w:r>
      <w:r w:rsidR="00736540">
        <w:rPr>
          <w:rFonts w:asciiTheme="minorHAnsi" w:hAnsiTheme="minorHAnsi"/>
          <w:sz w:val="22"/>
          <w:szCs w:val="22"/>
          <w:lang w:val="en-GB"/>
        </w:rPr>
        <w:t>IM</w:t>
      </w:r>
      <w:r w:rsidR="00AD16A2" w:rsidRPr="000A6B0A">
        <w:rPr>
          <w:rFonts w:asciiTheme="minorHAnsi" w:hAnsiTheme="minorHAnsi"/>
          <w:sz w:val="22"/>
          <w:szCs w:val="22"/>
          <w:lang w:val="en-GB"/>
        </w:rPr>
        <w:t>.</w:t>
      </w:r>
      <w:r w:rsidR="00E45650" w:rsidRPr="000A6B0A">
        <w:rPr>
          <w:rFonts w:asciiTheme="minorHAnsi" w:hAnsiTheme="minorHAnsi"/>
          <w:sz w:val="22"/>
          <w:szCs w:val="22"/>
          <w:lang w:val="en-GB"/>
        </w:rPr>
        <w:t xml:space="preserve"> </w:t>
      </w:r>
      <w:r w:rsidR="00234B6A" w:rsidRPr="000A6B0A">
        <w:rPr>
          <w:rFonts w:asciiTheme="minorHAnsi" w:hAnsiTheme="minorHAnsi"/>
          <w:sz w:val="22"/>
          <w:szCs w:val="22"/>
          <w:lang w:val="en-GB"/>
        </w:rPr>
        <w:t xml:space="preserve">In Italy, the government subsidies, at the moment set for three years, cover the full amount of </w:t>
      </w:r>
      <w:r w:rsidR="00B613A1">
        <w:rPr>
          <w:rFonts w:asciiTheme="minorHAnsi" w:hAnsiTheme="minorHAnsi"/>
          <w:sz w:val="22"/>
          <w:szCs w:val="22"/>
          <w:lang w:val="en-GB"/>
        </w:rPr>
        <w:t xml:space="preserve">access </w:t>
      </w:r>
      <w:r w:rsidR="00234B6A" w:rsidRPr="000A6B0A">
        <w:rPr>
          <w:rFonts w:asciiTheme="minorHAnsi" w:hAnsiTheme="minorHAnsi"/>
          <w:sz w:val="22"/>
          <w:szCs w:val="22"/>
          <w:lang w:val="en-GB"/>
        </w:rPr>
        <w:t>charges to the railway undertakings</w:t>
      </w:r>
      <w:r w:rsidR="00B613A1">
        <w:rPr>
          <w:rFonts w:asciiTheme="minorHAnsi" w:hAnsiTheme="minorHAnsi"/>
          <w:sz w:val="22"/>
          <w:szCs w:val="22"/>
          <w:lang w:val="en-GB"/>
        </w:rPr>
        <w:t xml:space="preserve"> operating in the freight sector</w:t>
      </w:r>
      <w:r w:rsidR="00234B6A" w:rsidRPr="000A6B0A">
        <w:rPr>
          <w:rFonts w:asciiTheme="minorHAnsi" w:hAnsiTheme="minorHAnsi"/>
          <w:sz w:val="22"/>
          <w:szCs w:val="22"/>
          <w:lang w:val="en-GB"/>
        </w:rPr>
        <w:t xml:space="preserve"> that benefit from the incentive. </w:t>
      </w:r>
      <w:r w:rsidR="00542AC6" w:rsidRPr="000A6B0A">
        <w:rPr>
          <w:rFonts w:asciiTheme="minorHAnsi" w:hAnsiTheme="minorHAnsi"/>
          <w:sz w:val="22"/>
          <w:szCs w:val="22"/>
          <w:lang w:val="en-GB"/>
        </w:rPr>
        <w:t>Moreover, i</w:t>
      </w:r>
      <w:r w:rsidR="007832C8" w:rsidRPr="000A6B0A">
        <w:rPr>
          <w:rFonts w:asciiTheme="minorHAnsi" w:hAnsiTheme="minorHAnsi"/>
          <w:sz w:val="22"/>
          <w:szCs w:val="22"/>
          <w:lang w:val="en-GB"/>
        </w:rPr>
        <w:t xml:space="preserve">n most countries, indirect </w:t>
      </w:r>
      <w:r w:rsidR="0006633F" w:rsidRPr="000A6B0A">
        <w:rPr>
          <w:rFonts w:asciiTheme="minorHAnsi" w:hAnsiTheme="minorHAnsi"/>
          <w:sz w:val="22"/>
          <w:szCs w:val="22"/>
          <w:lang w:val="en-GB"/>
        </w:rPr>
        <w:t xml:space="preserve">public </w:t>
      </w:r>
      <w:r w:rsidR="007832C8" w:rsidRPr="000A6B0A">
        <w:rPr>
          <w:rFonts w:asciiTheme="minorHAnsi" w:hAnsiTheme="minorHAnsi"/>
          <w:sz w:val="22"/>
          <w:szCs w:val="22"/>
          <w:lang w:val="en-GB"/>
        </w:rPr>
        <w:t xml:space="preserve">contributions are also made to the </w:t>
      </w:r>
      <w:r w:rsidR="00736540">
        <w:rPr>
          <w:rFonts w:asciiTheme="minorHAnsi" w:hAnsiTheme="minorHAnsi"/>
          <w:sz w:val="22"/>
          <w:szCs w:val="22"/>
          <w:lang w:val="en-GB"/>
        </w:rPr>
        <w:t>IM</w:t>
      </w:r>
      <w:r w:rsidR="007832C8" w:rsidRPr="000A6B0A">
        <w:rPr>
          <w:rFonts w:asciiTheme="minorHAnsi" w:hAnsiTheme="minorHAnsi"/>
          <w:sz w:val="22"/>
          <w:szCs w:val="22"/>
          <w:lang w:val="en-GB"/>
        </w:rPr>
        <w:t xml:space="preserve"> to cover part of the track access charges of </w:t>
      </w:r>
      <w:r w:rsidR="0006633F" w:rsidRPr="000A6B0A">
        <w:rPr>
          <w:rFonts w:asciiTheme="minorHAnsi" w:hAnsiTheme="minorHAnsi"/>
          <w:sz w:val="22"/>
          <w:szCs w:val="22"/>
          <w:lang w:val="en-GB"/>
        </w:rPr>
        <w:t>railway undertakings operating</w:t>
      </w:r>
      <w:r w:rsidR="007832C8" w:rsidRPr="000A6B0A">
        <w:rPr>
          <w:rFonts w:asciiTheme="minorHAnsi" w:hAnsiTheme="minorHAnsi"/>
          <w:sz w:val="22"/>
          <w:szCs w:val="22"/>
          <w:lang w:val="en-GB"/>
        </w:rPr>
        <w:t xml:space="preserve"> under public service contracts. In 2014, the German Federal Government provided </w:t>
      </w:r>
      <w:r w:rsidR="00542AC6" w:rsidRPr="000A6B0A">
        <w:rPr>
          <w:rFonts w:asciiTheme="minorHAnsi" w:hAnsiTheme="minorHAnsi"/>
          <w:sz w:val="22"/>
          <w:szCs w:val="22"/>
          <w:lang w:val="en-GB"/>
        </w:rPr>
        <w:t xml:space="preserve">regional transport authorities </w:t>
      </w:r>
      <w:r w:rsidR="007832C8" w:rsidRPr="000A6B0A">
        <w:rPr>
          <w:rFonts w:asciiTheme="minorHAnsi" w:hAnsiTheme="minorHAnsi"/>
          <w:sz w:val="22"/>
          <w:szCs w:val="22"/>
          <w:lang w:val="en-GB"/>
        </w:rPr>
        <w:t xml:space="preserve">about 7.3 </w:t>
      </w:r>
      <w:r w:rsidR="00217F4E" w:rsidRPr="000A6B0A">
        <w:rPr>
          <w:rFonts w:asciiTheme="minorHAnsi" w:hAnsiTheme="minorHAnsi"/>
          <w:sz w:val="22"/>
          <w:szCs w:val="22"/>
          <w:lang w:val="en-GB"/>
        </w:rPr>
        <w:t xml:space="preserve">billion </w:t>
      </w:r>
      <w:r w:rsidR="007832C8" w:rsidRPr="000A6B0A">
        <w:rPr>
          <w:rFonts w:asciiTheme="minorHAnsi" w:hAnsiTheme="minorHAnsi"/>
          <w:sz w:val="22"/>
          <w:szCs w:val="22"/>
          <w:lang w:val="en-GB"/>
        </w:rPr>
        <w:t>euros for the organization of regional passenger transport</w:t>
      </w:r>
      <w:r w:rsidR="00542AC6" w:rsidRPr="000A6B0A">
        <w:rPr>
          <w:rFonts w:asciiTheme="minorHAnsi" w:hAnsiTheme="minorHAnsi"/>
          <w:sz w:val="22"/>
          <w:szCs w:val="22"/>
          <w:lang w:val="en-GB"/>
        </w:rPr>
        <w:t xml:space="preserve">, of which 3.1 </w:t>
      </w:r>
      <w:r w:rsidR="00217F4E" w:rsidRPr="000A6B0A">
        <w:rPr>
          <w:rFonts w:asciiTheme="minorHAnsi" w:hAnsiTheme="minorHAnsi"/>
          <w:sz w:val="22"/>
          <w:szCs w:val="22"/>
          <w:lang w:val="en-GB"/>
        </w:rPr>
        <w:t xml:space="preserve">billion </w:t>
      </w:r>
      <w:r w:rsidR="00542AC6" w:rsidRPr="000A6B0A">
        <w:rPr>
          <w:rFonts w:asciiTheme="minorHAnsi" w:hAnsiTheme="minorHAnsi"/>
          <w:sz w:val="22"/>
          <w:szCs w:val="22"/>
          <w:lang w:val="en-GB"/>
        </w:rPr>
        <w:t>euros were used to cover part of the track access charges for these services. The overall level of contribution increased in 2015 and reached 8</w:t>
      </w:r>
      <w:r w:rsidR="00495EEB">
        <w:rPr>
          <w:rFonts w:asciiTheme="minorHAnsi" w:hAnsiTheme="minorHAnsi"/>
          <w:sz w:val="22"/>
          <w:szCs w:val="22"/>
          <w:lang w:val="en-GB"/>
        </w:rPr>
        <w:t>.2</w:t>
      </w:r>
      <w:r w:rsidR="00542AC6" w:rsidRPr="000A6B0A">
        <w:rPr>
          <w:rFonts w:asciiTheme="minorHAnsi" w:hAnsiTheme="minorHAnsi"/>
          <w:sz w:val="22"/>
          <w:szCs w:val="22"/>
          <w:lang w:val="en-GB"/>
        </w:rPr>
        <w:t xml:space="preserve"> </w:t>
      </w:r>
      <w:r w:rsidR="00217F4E" w:rsidRPr="000A6B0A">
        <w:rPr>
          <w:rFonts w:asciiTheme="minorHAnsi" w:hAnsiTheme="minorHAnsi"/>
          <w:sz w:val="22"/>
          <w:szCs w:val="22"/>
          <w:lang w:val="en-GB"/>
        </w:rPr>
        <w:t xml:space="preserve">billion </w:t>
      </w:r>
      <w:r w:rsidR="00542AC6" w:rsidRPr="000A6B0A">
        <w:rPr>
          <w:rFonts w:asciiTheme="minorHAnsi" w:hAnsiTheme="minorHAnsi"/>
          <w:sz w:val="22"/>
          <w:szCs w:val="22"/>
          <w:lang w:val="en-GB"/>
        </w:rPr>
        <w:t xml:space="preserve">euros in 2016. France has a similar organization in which the federal government </w:t>
      </w:r>
      <w:r w:rsidR="004234FA" w:rsidRPr="000A6B0A">
        <w:rPr>
          <w:rFonts w:asciiTheme="minorHAnsi" w:hAnsiTheme="minorHAnsi"/>
          <w:sz w:val="22"/>
          <w:szCs w:val="22"/>
          <w:lang w:val="en-GB"/>
        </w:rPr>
        <w:t xml:space="preserve">pays for part of the track access charges of regional and national public services. In 2016, this contribution represented </w:t>
      </w:r>
      <w:r w:rsidR="00217F4E" w:rsidRPr="000A6B0A">
        <w:rPr>
          <w:rFonts w:asciiTheme="minorHAnsi" w:hAnsiTheme="minorHAnsi"/>
          <w:sz w:val="22"/>
          <w:szCs w:val="22"/>
          <w:lang w:val="en-GB"/>
        </w:rPr>
        <w:t>approximately</w:t>
      </w:r>
      <w:r w:rsidR="004234FA" w:rsidRPr="000A6B0A">
        <w:rPr>
          <w:rFonts w:asciiTheme="minorHAnsi" w:hAnsiTheme="minorHAnsi"/>
          <w:sz w:val="22"/>
          <w:szCs w:val="22"/>
          <w:lang w:val="en-GB"/>
        </w:rPr>
        <w:t xml:space="preserve"> 2 </w:t>
      </w:r>
      <w:r w:rsidR="00217F4E" w:rsidRPr="000A6B0A">
        <w:rPr>
          <w:rFonts w:asciiTheme="minorHAnsi" w:hAnsiTheme="minorHAnsi"/>
          <w:sz w:val="22"/>
          <w:szCs w:val="22"/>
          <w:lang w:val="en-GB"/>
        </w:rPr>
        <w:t>billion</w:t>
      </w:r>
      <w:r w:rsidR="004234FA" w:rsidRPr="000A6B0A">
        <w:rPr>
          <w:rFonts w:asciiTheme="minorHAnsi" w:hAnsiTheme="minorHAnsi"/>
          <w:sz w:val="22"/>
          <w:szCs w:val="22"/>
          <w:lang w:val="en-GB"/>
        </w:rPr>
        <w:t xml:space="preserve"> euros. </w:t>
      </w:r>
    </w:p>
    <w:p w:rsidR="00C74656" w:rsidRPr="000A6B0A" w:rsidRDefault="00C74656" w:rsidP="00767DA1">
      <w:pPr>
        <w:spacing w:line="276" w:lineRule="auto"/>
        <w:jc w:val="both"/>
        <w:rPr>
          <w:rFonts w:asciiTheme="minorHAnsi" w:hAnsiTheme="minorHAnsi"/>
          <w:sz w:val="22"/>
          <w:szCs w:val="22"/>
          <w:lang w:val="en-GB"/>
        </w:rPr>
      </w:pPr>
    </w:p>
    <w:p w:rsidR="0001217F" w:rsidRPr="000A6B0A" w:rsidRDefault="0001217F" w:rsidP="0001217F">
      <w:p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Breakdown of IMs’ revenues between access charges and public compensations</w:t>
      </w:r>
    </w:p>
    <w:p w:rsidR="0001217F" w:rsidRPr="000A6B0A" w:rsidRDefault="0001217F" w:rsidP="0001217F">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As underlined in the previous subsection, public compensations represent a substantial part </w:t>
      </w:r>
      <w:r w:rsidR="007953B7" w:rsidRPr="000A6B0A">
        <w:rPr>
          <w:rFonts w:asciiTheme="minorHAnsi" w:hAnsiTheme="minorHAnsi"/>
          <w:sz w:val="22"/>
          <w:szCs w:val="22"/>
          <w:lang w:val="en-GB"/>
        </w:rPr>
        <w:t xml:space="preserve">of </w:t>
      </w:r>
      <w:r w:rsidRPr="000A6B0A">
        <w:rPr>
          <w:rFonts w:asciiTheme="minorHAnsi" w:hAnsiTheme="minorHAnsi"/>
          <w:sz w:val="22"/>
          <w:szCs w:val="22"/>
          <w:lang w:val="en-GB"/>
        </w:rPr>
        <w:t xml:space="preserve">the revenues of the </w:t>
      </w:r>
      <w:r w:rsidR="00736540">
        <w:rPr>
          <w:rFonts w:asciiTheme="minorHAnsi" w:hAnsiTheme="minorHAnsi"/>
          <w:sz w:val="22"/>
          <w:szCs w:val="22"/>
          <w:lang w:val="en-GB"/>
        </w:rPr>
        <w:t>IM</w:t>
      </w:r>
      <w:r w:rsidRPr="000A6B0A">
        <w:rPr>
          <w:rFonts w:asciiTheme="minorHAnsi" w:hAnsiTheme="minorHAnsi"/>
          <w:sz w:val="22"/>
          <w:szCs w:val="22"/>
          <w:lang w:val="en-GB"/>
        </w:rPr>
        <w:t xml:space="preserve"> in most IRG-Rail Member States. In Greece, around 70% of the revenues of the </w:t>
      </w:r>
      <w:r w:rsidR="00736540">
        <w:rPr>
          <w:rFonts w:asciiTheme="minorHAnsi" w:hAnsiTheme="minorHAnsi"/>
          <w:sz w:val="22"/>
          <w:szCs w:val="22"/>
          <w:lang w:val="en-GB"/>
        </w:rPr>
        <w:t>IM</w:t>
      </w:r>
      <w:r w:rsidRPr="000A6B0A">
        <w:rPr>
          <w:rFonts w:asciiTheme="minorHAnsi" w:hAnsiTheme="minorHAnsi"/>
          <w:sz w:val="22"/>
          <w:szCs w:val="22"/>
          <w:lang w:val="en-GB"/>
        </w:rPr>
        <w:t xml:space="preserve"> </w:t>
      </w:r>
      <w:r w:rsidR="00217F4E" w:rsidRPr="000A6B0A">
        <w:rPr>
          <w:rFonts w:asciiTheme="minorHAnsi" w:hAnsiTheme="minorHAnsi"/>
          <w:sz w:val="22"/>
          <w:szCs w:val="22"/>
          <w:lang w:val="en-GB"/>
        </w:rPr>
        <w:t>come</w:t>
      </w:r>
      <w:r w:rsidRPr="000A6B0A">
        <w:rPr>
          <w:rFonts w:asciiTheme="minorHAnsi" w:hAnsiTheme="minorHAnsi"/>
          <w:sz w:val="22"/>
          <w:szCs w:val="22"/>
          <w:lang w:val="en-GB"/>
        </w:rPr>
        <w:t xml:space="preserve"> from public compensations. In Slovakia, public subsidies amount to around 80% of the IMs’ incomes, while in Finland they represent 90%. The rest is covered by access charges. </w:t>
      </w:r>
      <w:r w:rsidR="00217F4E" w:rsidRPr="000A6B0A">
        <w:rPr>
          <w:rFonts w:asciiTheme="minorHAnsi" w:hAnsiTheme="minorHAnsi"/>
          <w:sz w:val="22"/>
          <w:szCs w:val="22"/>
          <w:lang w:val="en-GB"/>
        </w:rPr>
        <w:t xml:space="preserve">The breakdown of incomes between charges and subsidies within a country may vary for different parts of the network. For instance, in Spain, public subsidies represent 90% of the </w:t>
      </w:r>
      <w:r w:rsidR="00736540">
        <w:rPr>
          <w:rFonts w:asciiTheme="minorHAnsi" w:hAnsiTheme="minorHAnsi"/>
          <w:sz w:val="22"/>
          <w:szCs w:val="22"/>
          <w:lang w:val="en-GB"/>
        </w:rPr>
        <w:t>IM</w:t>
      </w:r>
      <w:r w:rsidR="00217F4E" w:rsidRPr="000A6B0A">
        <w:rPr>
          <w:rFonts w:asciiTheme="minorHAnsi" w:hAnsiTheme="minorHAnsi"/>
          <w:sz w:val="22"/>
          <w:szCs w:val="22"/>
          <w:lang w:val="en-GB"/>
        </w:rPr>
        <w:t xml:space="preserve"> revenues on conventional lines, whereas they only represent 45% on high speed lines.</w:t>
      </w:r>
    </w:p>
    <w:p w:rsidR="0001217F" w:rsidRPr="000A6B0A" w:rsidRDefault="0001217F" w:rsidP="00767DA1">
      <w:pPr>
        <w:spacing w:line="276" w:lineRule="auto"/>
        <w:jc w:val="both"/>
        <w:rPr>
          <w:rFonts w:asciiTheme="minorHAnsi" w:hAnsiTheme="minorHAnsi"/>
          <w:sz w:val="22"/>
          <w:szCs w:val="22"/>
          <w:lang w:val="en-GB"/>
        </w:rPr>
      </w:pPr>
    </w:p>
    <w:p w:rsidR="001951E7" w:rsidRPr="000A6B0A" w:rsidRDefault="00217F4E" w:rsidP="00767DA1">
      <w:p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Time periods for the determination of public compensations</w:t>
      </w:r>
    </w:p>
    <w:p w:rsidR="00D70DA5" w:rsidRDefault="00E45650" w:rsidP="00767DA1">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Depending on the country or the source of financing, t</w:t>
      </w:r>
      <w:r w:rsidR="00C74656" w:rsidRPr="000A6B0A">
        <w:rPr>
          <w:rFonts w:asciiTheme="minorHAnsi" w:hAnsiTheme="minorHAnsi"/>
          <w:sz w:val="22"/>
          <w:szCs w:val="22"/>
          <w:lang w:val="en-GB"/>
        </w:rPr>
        <w:t xml:space="preserve">he level of public compensation may be set for different </w:t>
      </w:r>
      <w:r w:rsidR="00217F4E" w:rsidRPr="000A6B0A">
        <w:rPr>
          <w:rFonts w:asciiTheme="minorHAnsi" w:hAnsiTheme="minorHAnsi"/>
          <w:sz w:val="22"/>
          <w:szCs w:val="22"/>
          <w:lang w:val="en-GB"/>
        </w:rPr>
        <w:t>time periods</w:t>
      </w:r>
      <w:r w:rsidR="00C74656" w:rsidRPr="000A6B0A">
        <w:rPr>
          <w:rFonts w:asciiTheme="minorHAnsi" w:hAnsiTheme="minorHAnsi"/>
          <w:sz w:val="22"/>
          <w:szCs w:val="22"/>
          <w:lang w:val="en-GB"/>
        </w:rPr>
        <w:t xml:space="preserve">. In countries such as Finland and Norway, public compensations are </w:t>
      </w:r>
      <w:r w:rsidR="004234FA" w:rsidRPr="000A6B0A">
        <w:rPr>
          <w:rFonts w:asciiTheme="minorHAnsi" w:hAnsiTheme="minorHAnsi"/>
          <w:sz w:val="22"/>
          <w:szCs w:val="22"/>
          <w:lang w:val="en-GB"/>
        </w:rPr>
        <w:t>decided</w:t>
      </w:r>
      <w:r w:rsidR="00C74656" w:rsidRPr="000A6B0A">
        <w:rPr>
          <w:rFonts w:asciiTheme="minorHAnsi" w:hAnsiTheme="minorHAnsi"/>
          <w:sz w:val="22"/>
          <w:szCs w:val="22"/>
          <w:lang w:val="en-GB"/>
        </w:rPr>
        <w:t xml:space="preserve"> on an annual basis. </w:t>
      </w:r>
      <w:r w:rsidRPr="000A6B0A">
        <w:rPr>
          <w:rFonts w:asciiTheme="minorHAnsi" w:hAnsiTheme="minorHAnsi"/>
          <w:sz w:val="22"/>
          <w:szCs w:val="22"/>
          <w:lang w:val="en-GB"/>
        </w:rPr>
        <w:t xml:space="preserve">In Germany, Italy and the UK, the bulk of public compensations </w:t>
      </w:r>
      <w:r w:rsidR="0006633F" w:rsidRPr="000A6B0A">
        <w:rPr>
          <w:rFonts w:asciiTheme="minorHAnsi" w:hAnsiTheme="minorHAnsi"/>
          <w:sz w:val="22"/>
          <w:szCs w:val="22"/>
          <w:lang w:val="en-GB"/>
        </w:rPr>
        <w:t>is</w:t>
      </w:r>
      <w:r w:rsidRPr="000A6B0A">
        <w:rPr>
          <w:rFonts w:asciiTheme="minorHAnsi" w:hAnsiTheme="minorHAnsi"/>
          <w:sz w:val="22"/>
          <w:szCs w:val="22"/>
          <w:lang w:val="en-GB"/>
        </w:rPr>
        <w:t xml:space="preserve"> set for multi-annual periods. In the UK, the Department for Transport (for England and Wales) and Transport Scotland (for Scotland) pays a </w:t>
      </w:r>
      <w:r w:rsidR="00736540">
        <w:rPr>
          <w:rFonts w:asciiTheme="minorHAnsi" w:hAnsiTheme="minorHAnsi"/>
          <w:sz w:val="22"/>
          <w:szCs w:val="22"/>
          <w:lang w:val="en-GB"/>
        </w:rPr>
        <w:t>n</w:t>
      </w:r>
      <w:r w:rsidRPr="000A6B0A">
        <w:rPr>
          <w:rFonts w:asciiTheme="minorHAnsi" w:hAnsiTheme="minorHAnsi"/>
          <w:sz w:val="22"/>
          <w:szCs w:val="22"/>
          <w:lang w:val="en-GB"/>
        </w:rPr>
        <w:t xml:space="preserve">etwork </w:t>
      </w:r>
      <w:r w:rsidR="00736540">
        <w:rPr>
          <w:rFonts w:asciiTheme="minorHAnsi" w:hAnsiTheme="minorHAnsi"/>
          <w:sz w:val="22"/>
          <w:szCs w:val="22"/>
          <w:lang w:val="en-GB"/>
        </w:rPr>
        <w:t>g</w:t>
      </w:r>
      <w:r w:rsidRPr="000A6B0A">
        <w:rPr>
          <w:rFonts w:asciiTheme="minorHAnsi" w:hAnsiTheme="minorHAnsi"/>
          <w:sz w:val="22"/>
          <w:szCs w:val="22"/>
          <w:lang w:val="en-GB"/>
        </w:rPr>
        <w:t xml:space="preserve">rant to the </w:t>
      </w:r>
      <w:r w:rsidR="00736540">
        <w:rPr>
          <w:rFonts w:asciiTheme="minorHAnsi" w:hAnsiTheme="minorHAnsi"/>
          <w:sz w:val="22"/>
          <w:szCs w:val="22"/>
          <w:lang w:val="en-GB"/>
        </w:rPr>
        <w:t>IM</w:t>
      </w:r>
      <w:r w:rsidRPr="000A6B0A">
        <w:rPr>
          <w:rFonts w:asciiTheme="minorHAnsi" w:hAnsiTheme="minorHAnsi"/>
          <w:sz w:val="22"/>
          <w:szCs w:val="22"/>
          <w:lang w:val="en-GB"/>
        </w:rPr>
        <w:t xml:space="preserve"> for a five year period. In Italy and in Germany, </w:t>
      </w:r>
      <w:r w:rsidR="004234FA" w:rsidRPr="000A6B0A">
        <w:rPr>
          <w:rFonts w:asciiTheme="minorHAnsi" w:hAnsiTheme="minorHAnsi"/>
          <w:sz w:val="22"/>
          <w:szCs w:val="22"/>
          <w:lang w:val="en-GB"/>
        </w:rPr>
        <w:t>part of the public compensations is</w:t>
      </w:r>
      <w:r w:rsidRPr="000A6B0A">
        <w:rPr>
          <w:rFonts w:asciiTheme="minorHAnsi" w:hAnsiTheme="minorHAnsi"/>
          <w:sz w:val="22"/>
          <w:szCs w:val="22"/>
          <w:lang w:val="en-GB"/>
        </w:rPr>
        <w:t xml:space="preserve"> </w:t>
      </w:r>
      <w:r w:rsidR="004234FA" w:rsidRPr="000A6B0A">
        <w:rPr>
          <w:rFonts w:asciiTheme="minorHAnsi" w:hAnsiTheme="minorHAnsi"/>
          <w:sz w:val="22"/>
          <w:szCs w:val="22"/>
          <w:lang w:val="en-GB"/>
        </w:rPr>
        <w:t xml:space="preserve">included in the </w:t>
      </w:r>
      <w:r w:rsidR="00495EEB">
        <w:rPr>
          <w:rFonts w:asciiTheme="minorHAnsi" w:hAnsiTheme="minorHAnsi"/>
          <w:sz w:val="22"/>
          <w:szCs w:val="22"/>
          <w:lang w:val="en-GB"/>
        </w:rPr>
        <w:t xml:space="preserve">public </w:t>
      </w:r>
      <w:r w:rsidR="004234FA" w:rsidRPr="000A6B0A">
        <w:rPr>
          <w:rFonts w:asciiTheme="minorHAnsi" w:hAnsiTheme="minorHAnsi"/>
          <w:sz w:val="22"/>
          <w:szCs w:val="22"/>
          <w:lang w:val="en-GB"/>
        </w:rPr>
        <w:t xml:space="preserve">contract between the State and the </w:t>
      </w:r>
      <w:r w:rsidR="00736540">
        <w:rPr>
          <w:rFonts w:asciiTheme="minorHAnsi" w:hAnsiTheme="minorHAnsi"/>
          <w:sz w:val="22"/>
          <w:szCs w:val="22"/>
          <w:lang w:val="en-GB"/>
        </w:rPr>
        <w:t>IM</w:t>
      </w:r>
      <w:r w:rsidR="004234FA" w:rsidRPr="000A6B0A">
        <w:rPr>
          <w:rFonts w:asciiTheme="minorHAnsi" w:hAnsiTheme="minorHAnsi"/>
          <w:sz w:val="22"/>
          <w:szCs w:val="22"/>
          <w:lang w:val="en-GB"/>
        </w:rPr>
        <w:t xml:space="preserve">, for a period of five years. </w:t>
      </w:r>
      <w:r w:rsidR="0006633F" w:rsidRPr="000A6B0A">
        <w:rPr>
          <w:rFonts w:asciiTheme="minorHAnsi" w:hAnsiTheme="minorHAnsi"/>
          <w:sz w:val="22"/>
          <w:szCs w:val="22"/>
          <w:lang w:val="en-GB"/>
        </w:rPr>
        <w:t>In Germany, some public compensation such as infrastructure upgrading subsidies is set on an annual basis.</w:t>
      </w:r>
    </w:p>
    <w:p w:rsidR="00D70DA5" w:rsidRDefault="00D70DA5" w:rsidP="00767DA1">
      <w:pPr>
        <w:spacing w:line="276" w:lineRule="auto"/>
        <w:jc w:val="both"/>
        <w:rPr>
          <w:rFonts w:asciiTheme="minorHAnsi" w:hAnsiTheme="minorHAnsi"/>
          <w:sz w:val="22"/>
          <w:szCs w:val="22"/>
          <w:lang w:val="en-GB"/>
        </w:rPr>
      </w:pPr>
    </w:p>
    <w:p w:rsidR="00D70DA5" w:rsidRDefault="00D70DA5" w:rsidP="00D70DA5">
      <w:pPr>
        <w:pStyle w:val="Paragraphedeliste"/>
        <w:numPr>
          <w:ilvl w:val="0"/>
          <w:numId w:val="18"/>
        </w:numPr>
        <w:spacing w:line="276" w:lineRule="auto"/>
        <w:jc w:val="both"/>
        <w:rPr>
          <w:rFonts w:asciiTheme="minorHAnsi" w:hAnsiTheme="minorHAnsi"/>
          <w:i/>
          <w:noProof/>
          <w:sz w:val="22"/>
          <w:szCs w:val="22"/>
          <w:lang w:val="en-GB"/>
        </w:rPr>
      </w:pPr>
      <w:r>
        <w:rPr>
          <w:rFonts w:asciiTheme="minorHAnsi" w:hAnsiTheme="minorHAnsi"/>
          <w:i/>
          <w:noProof/>
          <w:sz w:val="22"/>
          <w:szCs w:val="22"/>
          <w:lang w:val="en-GB"/>
        </w:rPr>
        <w:t>Overview table for investments and subsidies</w:t>
      </w:r>
    </w:p>
    <w:p w:rsidR="00D70DA5" w:rsidRDefault="00D70DA5" w:rsidP="00D70DA5">
      <w:pPr>
        <w:spacing w:line="276" w:lineRule="auto"/>
        <w:jc w:val="both"/>
        <w:rPr>
          <w:rFonts w:asciiTheme="minorHAnsi" w:hAnsiTheme="minorHAnsi"/>
          <w:i/>
          <w:noProof/>
          <w:sz w:val="22"/>
          <w:szCs w:val="22"/>
          <w:lang w:val="en-GB"/>
        </w:rPr>
        <w:sectPr w:rsidR="00D70DA5" w:rsidSect="00D70DA5">
          <w:pgSz w:w="11907" w:h="16839"/>
          <w:pgMar w:top="1258" w:right="1287" w:bottom="1008" w:left="1800" w:header="708" w:footer="708" w:gutter="0"/>
          <w:cols w:space="708"/>
          <w:docGrid w:linePitch="360"/>
        </w:sectPr>
      </w:pPr>
    </w:p>
    <w:tbl>
      <w:tblPr>
        <w:tblW w:w="11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1385"/>
        <w:gridCol w:w="1104"/>
        <w:gridCol w:w="978"/>
        <w:gridCol w:w="1081"/>
        <w:gridCol w:w="1081"/>
        <w:gridCol w:w="953"/>
        <w:gridCol w:w="1150"/>
        <w:gridCol w:w="876"/>
        <w:gridCol w:w="1235"/>
      </w:tblGrid>
      <w:tr w:rsidR="00D70DA5" w:rsidRPr="00C54CEB" w:rsidTr="00F76A2F">
        <w:trPr>
          <w:trHeight w:val="56"/>
          <w:tblHeader/>
          <w:jc w:val="center"/>
        </w:trPr>
        <w:tc>
          <w:tcPr>
            <w:tcW w:w="1235"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385"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The RB reviews the investments or investment plans of the IM</w:t>
            </w:r>
          </w:p>
        </w:tc>
        <w:tc>
          <w:tcPr>
            <w:tcW w:w="4244" w:type="dxa"/>
            <w:gridSpan w:val="4"/>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Financing of the IM</w:t>
            </w:r>
          </w:p>
        </w:tc>
        <w:tc>
          <w:tcPr>
            <w:tcW w:w="2979" w:type="dxa"/>
            <w:gridSpan w:val="3"/>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Part of investment programmes (replacement, expansion, maintenance) financed by :</w:t>
            </w:r>
          </w:p>
        </w:tc>
        <w:tc>
          <w:tcPr>
            <w:tcW w:w="1235"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Some railway infrastructures financed by private funds</w:t>
            </w:r>
          </w:p>
        </w:tc>
      </w:tr>
      <w:tr w:rsidR="00D70DA5" w:rsidRPr="000A6B0A" w:rsidTr="00F76A2F">
        <w:trPr>
          <w:trHeight w:val="56"/>
          <w:tblHeader/>
          <w:jc w:val="center"/>
        </w:trPr>
        <w:tc>
          <w:tcPr>
            <w:tcW w:w="1235"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385"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104"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Track access charges</w:t>
            </w:r>
          </w:p>
        </w:tc>
        <w:tc>
          <w:tcPr>
            <w:tcW w:w="978"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European subsidies</w:t>
            </w:r>
          </w:p>
        </w:tc>
        <w:tc>
          <w:tcPr>
            <w:tcW w:w="1081"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State subsidies</w:t>
            </w:r>
          </w:p>
        </w:tc>
        <w:tc>
          <w:tcPr>
            <w:tcW w:w="1081"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Regional subsidies</w:t>
            </w:r>
          </w:p>
        </w:tc>
        <w:tc>
          <w:tcPr>
            <w:tcW w:w="953"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European subsidies</w:t>
            </w:r>
          </w:p>
        </w:tc>
        <w:tc>
          <w:tcPr>
            <w:tcW w:w="1150"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State subsidies</w:t>
            </w:r>
          </w:p>
        </w:tc>
        <w:tc>
          <w:tcPr>
            <w:tcW w:w="876"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Regional subsidies</w:t>
            </w:r>
          </w:p>
        </w:tc>
        <w:tc>
          <w:tcPr>
            <w:tcW w:w="1235" w:type="dxa"/>
            <w:vMerge/>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p>
        </w:tc>
      </w:tr>
      <w:tr w:rsidR="00D70DA5" w:rsidRPr="000A6B0A" w:rsidTr="00F76A2F">
        <w:trPr>
          <w:trHeight w:val="65"/>
          <w:jc w:val="center"/>
        </w:trPr>
        <w:tc>
          <w:tcPr>
            <w:tcW w:w="1235"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38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p>
        </w:tc>
      </w:tr>
      <w:tr w:rsidR="00D70DA5" w:rsidRPr="000A6B0A" w:rsidTr="00F76A2F">
        <w:trPr>
          <w:trHeight w:val="56"/>
          <w:jc w:val="center"/>
        </w:trPr>
        <w:tc>
          <w:tcPr>
            <w:tcW w:w="1235"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008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38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Pr="008213C0"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Finland</w:t>
            </w:r>
          </w:p>
        </w:tc>
        <w:tc>
          <w:tcPr>
            <w:tcW w:w="138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b/>
                <w:sz w:val="20"/>
                <w:lang w:val="en-GB"/>
              </w:rPr>
            </w:pPr>
            <w:r w:rsidRPr="000A6B0A">
              <w:rPr>
                <w:rFonts w:ascii="Calibri" w:hAnsi="Calibri" w:cs="Calibri"/>
                <w:b/>
                <w:sz w:val="20"/>
                <w:lang w:val="en-GB"/>
              </w:rPr>
              <w:t>France</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r w:rsidR="00D70DA5" w:rsidRPr="000A6B0A" w:rsidTr="00F76A2F">
        <w:trPr>
          <w:trHeight w:val="56"/>
          <w:jc w:val="center"/>
        </w:trPr>
        <w:tc>
          <w:tcPr>
            <w:tcW w:w="1235"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Germany  </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53"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Greece</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Hungary</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Italy</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7C482C">
              <w:rPr>
                <w:rStyle w:val="Appelnotedebasdep"/>
                <w:rFonts w:ascii="Calibri" w:hAnsi="Calibri"/>
                <w:sz w:val="20"/>
                <w:lang w:val="en-GB"/>
              </w:rPr>
              <w:footnoteReference w:id="80"/>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r w:rsidRPr="007C482C">
              <w:rPr>
                <w:rStyle w:val="Appelnotedebasdep"/>
                <w:rFonts w:ascii="Calibri" w:hAnsi="Calibri"/>
                <w:sz w:val="20"/>
                <w:lang w:val="en-GB"/>
              </w:rPr>
              <w:footnoteReference w:id="81"/>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Latvia</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Netherlands</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Norway</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Poland</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D70DA5" w:rsidRPr="000A6B0A" w:rsidTr="00F76A2F">
        <w:trPr>
          <w:trHeight w:val="56"/>
          <w:jc w:val="center"/>
        </w:trPr>
        <w:tc>
          <w:tcPr>
            <w:tcW w:w="1235"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138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0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150"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35" w:type="dxa"/>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FFFFFF" w:themeFill="background1"/>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Slovakia</w:t>
            </w:r>
          </w:p>
        </w:tc>
        <w:tc>
          <w:tcPr>
            <w:tcW w:w="1385"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08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D9D9D9" w:themeFill="background1" w:themeFillShade="D9"/>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Slovenia</w:t>
            </w:r>
          </w:p>
        </w:tc>
        <w:tc>
          <w:tcPr>
            <w:tcW w:w="1385"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F76A2F" w:rsidRPr="000A6B0A" w:rsidTr="00F76A2F">
        <w:trPr>
          <w:trHeight w:val="56"/>
          <w:jc w:val="center"/>
        </w:trPr>
        <w:tc>
          <w:tcPr>
            <w:tcW w:w="1235" w:type="dxa"/>
            <w:shd w:val="clear" w:color="auto" w:fill="FFFFFF" w:themeFill="background1"/>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lastRenderedPageBreak/>
              <w:t>Spain</w:t>
            </w:r>
          </w:p>
        </w:tc>
        <w:tc>
          <w:tcPr>
            <w:tcW w:w="1385"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104"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978"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081"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081"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953"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150"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876"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35"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D70DA5" w:rsidRPr="000A6B0A" w:rsidTr="0086605D">
        <w:trPr>
          <w:trHeight w:val="56"/>
          <w:jc w:val="center"/>
        </w:trPr>
        <w:tc>
          <w:tcPr>
            <w:tcW w:w="1235"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Sweden</w:t>
            </w:r>
          </w:p>
        </w:tc>
        <w:tc>
          <w:tcPr>
            <w:tcW w:w="138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0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50"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p>
        </w:tc>
      </w:tr>
      <w:tr w:rsidR="00F76A2F" w:rsidRPr="000A6B0A" w:rsidTr="00F76A2F">
        <w:trPr>
          <w:trHeight w:val="56"/>
          <w:jc w:val="center"/>
        </w:trPr>
        <w:tc>
          <w:tcPr>
            <w:tcW w:w="1235" w:type="dxa"/>
            <w:shd w:val="clear" w:color="auto" w:fill="FFFFFF" w:themeFill="background1"/>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United-Kingdom</w:t>
            </w:r>
          </w:p>
        </w:tc>
        <w:tc>
          <w:tcPr>
            <w:tcW w:w="1385"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104"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978"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08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08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953"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150"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876"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35"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bl>
    <w:p w:rsidR="00D70DA5" w:rsidRDefault="00D70DA5" w:rsidP="0086605D">
      <w:pPr>
        <w:spacing w:line="276" w:lineRule="auto"/>
        <w:jc w:val="both"/>
        <w:rPr>
          <w:rFonts w:asciiTheme="minorHAnsi" w:hAnsiTheme="minorHAnsi"/>
          <w:i/>
          <w:noProof/>
          <w:sz w:val="22"/>
          <w:szCs w:val="22"/>
          <w:lang w:val="en-GB"/>
        </w:rPr>
      </w:pPr>
    </w:p>
    <w:p w:rsidR="00D70DA5" w:rsidRDefault="00D70DA5" w:rsidP="00D70DA5">
      <w:pPr>
        <w:spacing w:line="276" w:lineRule="auto"/>
        <w:jc w:val="both"/>
        <w:rPr>
          <w:rFonts w:asciiTheme="minorHAnsi" w:hAnsiTheme="minorHAnsi"/>
          <w:i/>
          <w:noProof/>
          <w:sz w:val="22"/>
          <w:szCs w:val="22"/>
          <w:lang w:val="en-GB"/>
        </w:rPr>
        <w:sectPr w:rsidR="00D70DA5" w:rsidSect="0086605D">
          <w:pgSz w:w="16839" w:h="11907" w:orient="landscape"/>
          <w:pgMar w:top="1800" w:right="1258" w:bottom="1287" w:left="1008" w:header="708" w:footer="708" w:gutter="0"/>
          <w:cols w:space="708"/>
          <w:docGrid w:linePitch="360"/>
        </w:sectPr>
      </w:pPr>
    </w:p>
    <w:p w:rsidR="000D2D45" w:rsidRPr="000A6B0A" w:rsidRDefault="00D63D94" w:rsidP="00E561FB">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lastRenderedPageBreak/>
        <w:t>Other cost and accounting issues</w:t>
      </w:r>
    </w:p>
    <w:p w:rsidR="000D2D45" w:rsidRPr="00A56CA1" w:rsidRDefault="000D2D45" w:rsidP="000D2D45">
      <w:pPr>
        <w:spacing w:line="276" w:lineRule="auto"/>
        <w:jc w:val="both"/>
        <w:rPr>
          <w:rFonts w:asciiTheme="minorHAnsi" w:hAnsiTheme="minorHAnsi"/>
          <w:sz w:val="22"/>
          <w:szCs w:val="22"/>
          <w:lang w:val="en-GB"/>
        </w:rPr>
      </w:pPr>
    </w:p>
    <w:p w:rsidR="000D2D45" w:rsidRPr="00920176"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920176">
        <w:rPr>
          <w:rFonts w:asciiTheme="minorHAnsi" w:hAnsiTheme="minorHAnsi"/>
          <w:i/>
          <w:sz w:val="22"/>
          <w:szCs w:val="22"/>
          <w:lang w:val="en-GB"/>
        </w:rPr>
        <w:t>The cost of capital</w:t>
      </w:r>
    </w:p>
    <w:p w:rsidR="000D2D45" w:rsidRPr="00B35F2F" w:rsidRDefault="000D2D45" w:rsidP="000D2D45">
      <w:pPr>
        <w:spacing w:line="276" w:lineRule="auto"/>
        <w:jc w:val="both"/>
        <w:rPr>
          <w:rFonts w:asciiTheme="minorHAnsi" w:hAnsiTheme="minorHAnsi"/>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C23A55">
        <w:rPr>
          <w:rFonts w:asciiTheme="minorHAnsi" w:hAnsiTheme="minorHAnsi"/>
          <w:sz w:val="22"/>
          <w:szCs w:val="22"/>
          <w:lang w:val="en-GB"/>
        </w:rPr>
        <w:t>Only a few regulators review the cost of capital included in the pricing of the infrastructure. This is the case of Austria, France, Germany,</w:t>
      </w:r>
      <w:r w:rsidR="00B613A1">
        <w:rPr>
          <w:rFonts w:asciiTheme="minorHAnsi" w:hAnsiTheme="minorHAnsi"/>
          <w:sz w:val="22"/>
          <w:szCs w:val="22"/>
          <w:lang w:val="en-GB"/>
        </w:rPr>
        <w:t xml:space="preserve"> Italy,</w:t>
      </w:r>
      <w:r w:rsidRPr="00C23A55">
        <w:rPr>
          <w:rFonts w:asciiTheme="minorHAnsi" w:hAnsiTheme="minorHAnsi"/>
          <w:sz w:val="22"/>
          <w:szCs w:val="22"/>
          <w:lang w:val="en-GB"/>
        </w:rPr>
        <w:t xml:space="preserve"> Hungary and the UK. The methodology that prevails when determining this cost of capital is </w:t>
      </w:r>
      <w:r w:rsidR="00313C58" w:rsidRPr="000A6B0A">
        <w:rPr>
          <w:rFonts w:asciiTheme="minorHAnsi" w:hAnsiTheme="minorHAnsi"/>
          <w:sz w:val="22"/>
          <w:szCs w:val="22"/>
          <w:lang w:val="en-GB"/>
        </w:rPr>
        <w:t>a</w:t>
      </w:r>
      <w:r w:rsidR="00420D3F" w:rsidRPr="000A6B0A">
        <w:rPr>
          <w:rFonts w:asciiTheme="minorHAnsi" w:hAnsiTheme="minorHAnsi"/>
          <w:sz w:val="22"/>
          <w:szCs w:val="22"/>
          <w:lang w:val="en-GB"/>
        </w:rPr>
        <w:t xml:space="preserve"> CAPM/WACC approach.</w:t>
      </w:r>
      <w:r w:rsidR="00234B6A" w:rsidRPr="000A6B0A">
        <w:rPr>
          <w:rFonts w:asciiTheme="minorHAnsi" w:hAnsiTheme="minorHAnsi"/>
          <w:sz w:val="22"/>
          <w:szCs w:val="22"/>
          <w:lang w:val="en-GB"/>
        </w:rPr>
        <w:t xml:space="preserve"> In Italy, the regulatory body has identified criteria for the determination of the parameters used in the CAPM/WACC formula, and for some of them, the specific economic values to fill in the formula.</w:t>
      </w:r>
    </w:p>
    <w:p w:rsidR="000D2D45" w:rsidRPr="000A6B0A" w:rsidRDefault="000D2D45" w:rsidP="000D2D45">
      <w:pPr>
        <w:spacing w:line="276" w:lineRule="auto"/>
        <w:jc w:val="both"/>
        <w:rPr>
          <w:rFonts w:asciiTheme="minorHAnsi" w:hAnsiTheme="minorHAnsi"/>
          <w:sz w:val="22"/>
          <w:szCs w:val="22"/>
          <w:lang w:val="en-GB"/>
        </w:rPr>
      </w:pPr>
    </w:p>
    <w:p w:rsidR="00490DD2"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France and Germany, the cost of capita</w:t>
      </w:r>
      <w:r w:rsidR="00603222" w:rsidRPr="000A6B0A">
        <w:rPr>
          <w:rFonts w:asciiTheme="minorHAnsi" w:hAnsiTheme="minorHAnsi"/>
          <w:sz w:val="22"/>
          <w:szCs w:val="22"/>
          <w:lang w:val="en-GB"/>
        </w:rPr>
        <w:t>l is considered as a fixed cost</w:t>
      </w:r>
      <w:r w:rsidRPr="000A6B0A">
        <w:rPr>
          <w:rFonts w:asciiTheme="minorHAnsi" w:hAnsiTheme="minorHAnsi"/>
          <w:sz w:val="22"/>
          <w:szCs w:val="22"/>
          <w:lang w:val="en-GB"/>
        </w:rPr>
        <w:t xml:space="preserve">. </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Definition of complete cost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234B6A"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France and Italy are among the countries where the </w:t>
      </w:r>
      <w:r w:rsidR="000D2D45" w:rsidRPr="000A6B0A">
        <w:rPr>
          <w:rFonts w:asciiTheme="minorHAnsi" w:hAnsiTheme="minorHAnsi"/>
          <w:sz w:val="22"/>
          <w:szCs w:val="22"/>
          <w:lang w:val="en-GB"/>
        </w:rPr>
        <w:t xml:space="preserve">national legislation provides a definition for the </w:t>
      </w:r>
      <w:r w:rsidRPr="000A6B0A">
        <w:rPr>
          <w:rFonts w:asciiTheme="minorHAnsi" w:hAnsiTheme="minorHAnsi"/>
          <w:sz w:val="22"/>
          <w:szCs w:val="22"/>
          <w:lang w:val="en-GB"/>
        </w:rPr>
        <w:t xml:space="preserve">full </w:t>
      </w:r>
      <w:r w:rsidR="000D2D45" w:rsidRPr="000A6B0A">
        <w:rPr>
          <w:rFonts w:asciiTheme="minorHAnsi" w:hAnsiTheme="minorHAnsi"/>
          <w:sz w:val="22"/>
          <w:szCs w:val="22"/>
          <w:lang w:val="en-GB"/>
        </w:rPr>
        <w:t xml:space="preserve">cost of the infrastructure. Article L. 2111-10 of the </w:t>
      </w:r>
      <w:r w:rsidR="00B613A1">
        <w:rPr>
          <w:rFonts w:asciiTheme="minorHAnsi" w:hAnsiTheme="minorHAnsi"/>
          <w:sz w:val="22"/>
          <w:szCs w:val="22"/>
          <w:lang w:val="en-GB"/>
        </w:rPr>
        <w:t xml:space="preserve">French </w:t>
      </w:r>
      <w:r w:rsidR="000D2D45" w:rsidRPr="000A6B0A">
        <w:rPr>
          <w:rFonts w:asciiTheme="minorHAnsi" w:hAnsiTheme="minorHAnsi"/>
          <w:sz w:val="22"/>
          <w:szCs w:val="22"/>
          <w:lang w:val="en-GB"/>
        </w:rPr>
        <w:t>transport code states that the complete cost corresponds to all the charges borne by the IM related to construction, operation, maintenance and renewal of the infrastructure, including the amortization of investments and the remuneration of the capital invested by the IM.</w:t>
      </w:r>
      <w:r w:rsidRPr="000A6B0A">
        <w:rPr>
          <w:rFonts w:asciiTheme="minorHAnsi" w:hAnsiTheme="minorHAnsi"/>
          <w:sz w:val="22"/>
          <w:szCs w:val="22"/>
          <w:lang w:val="en-GB"/>
        </w:rPr>
        <w:t xml:space="preserve"> In Italy, the same content is provided by Article 16(1) of the national Legislative Decree 112/2015 that implements the Recast.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 xml:space="preserve">Charges based on article </w:t>
      </w:r>
      <w:r w:rsidR="00222DC8" w:rsidRPr="000A6B0A">
        <w:rPr>
          <w:rFonts w:asciiTheme="minorHAnsi" w:hAnsiTheme="minorHAnsi"/>
          <w:i/>
          <w:sz w:val="22"/>
          <w:szCs w:val="22"/>
          <w:lang w:val="en-GB"/>
        </w:rPr>
        <w:t>32.3 of the Directive 2012/34/EU</w:t>
      </w:r>
    </w:p>
    <w:p w:rsidR="000D2D45" w:rsidRPr="000A6B0A" w:rsidRDefault="000D2D45" w:rsidP="000D2D45">
      <w:pPr>
        <w:spacing w:line="276" w:lineRule="auto"/>
        <w:jc w:val="both"/>
        <w:rPr>
          <w:rFonts w:asciiTheme="minorHAnsi" w:hAnsiTheme="minorHAnsi"/>
          <w:b/>
          <w:sz w:val="22"/>
          <w:szCs w:val="22"/>
          <w:lang w:val="en-GB"/>
        </w:rPr>
      </w:pPr>
    </w:p>
    <w:p w:rsidR="000D2D45" w:rsidRPr="000A6B0A" w:rsidRDefault="000228AD" w:rsidP="000D2D45">
      <w:pPr>
        <w:spacing w:line="276" w:lineRule="auto"/>
        <w:jc w:val="both"/>
        <w:rPr>
          <w:rFonts w:asciiTheme="minorHAnsi" w:hAnsiTheme="minorHAnsi"/>
          <w:sz w:val="22"/>
          <w:szCs w:val="22"/>
          <w:lang w:val="en-GB"/>
        </w:rPr>
      </w:pPr>
      <w:r>
        <w:rPr>
          <w:rFonts w:asciiTheme="minorHAnsi" w:hAnsiTheme="minorHAnsi"/>
          <w:sz w:val="22"/>
          <w:szCs w:val="22"/>
          <w:lang w:val="en-GB"/>
        </w:rPr>
        <w:t>Five</w:t>
      </w:r>
      <w:r w:rsidR="00736540" w:rsidRPr="000A6B0A">
        <w:rPr>
          <w:rFonts w:asciiTheme="minorHAnsi" w:hAnsiTheme="minorHAnsi"/>
          <w:sz w:val="22"/>
          <w:szCs w:val="22"/>
          <w:lang w:val="en-GB"/>
        </w:rPr>
        <w:t xml:space="preserve"> </w:t>
      </w:r>
      <w:r w:rsidR="000D2D45" w:rsidRPr="000A6B0A">
        <w:rPr>
          <w:rFonts w:asciiTheme="minorHAnsi" w:hAnsiTheme="minorHAnsi"/>
          <w:sz w:val="22"/>
          <w:szCs w:val="22"/>
          <w:lang w:val="en-GB"/>
        </w:rPr>
        <w:t xml:space="preserve">IRG-members reported that the IMs base </w:t>
      </w:r>
      <w:r w:rsidR="009C7C22" w:rsidRPr="000A6B0A">
        <w:rPr>
          <w:rFonts w:asciiTheme="minorHAnsi" w:hAnsiTheme="minorHAnsi"/>
          <w:sz w:val="22"/>
          <w:szCs w:val="22"/>
          <w:lang w:val="en-GB"/>
        </w:rPr>
        <w:t xml:space="preserve">part of </w:t>
      </w:r>
      <w:r w:rsidR="000D2D45" w:rsidRPr="000A6B0A">
        <w:rPr>
          <w:rFonts w:asciiTheme="minorHAnsi" w:hAnsiTheme="minorHAnsi"/>
          <w:sz w:val="22"/>
          <w:szCs w:val="22"/>
          <w:lang w:val="en-GB"/>
        </w:rPr>
        <w:t xml:space="preserve">their charges on </w:t>
      </w:r>
      <w:r w:rsidR="00B613A1">
        <w:rPr>
          <w:rFonts w:asciiTheme="minorHAnsi" w:hAnsiTheme="minorHAnsi"/>
          <w:sz w:val="22"/>
          <w:szCs w:val="22"/>
          <w:lang w:val="en-GB"/>
        </w:rPr>
        <w:t>A</w:t>
      </w:r>
      <w:r w:rsidR="000D2D45" w:rsidRPr="000A6B0A">
        <w:rPr>
          <w:rFonts w:asciiTheme="minorHAnsi" w:hAnsiTheme="minorHAnsi"/>
          <w:sz w:val="22"/>
          <w:szCs w:val="22"/>
          <w:lang w:val="en-GB"/>
        </w:rPr>
        <w:t>rti</w:t>
      </w:r>
      <w:r w:rsidR="00603222" w:rsidRPr="000A6B0A">
        <w:rPr>
          <w:rFonts w:asciiTheme="minorHAnsi" w:hAnsiTheme="minorHAnsi"/>
          <w:sz w:val="22"/>
          <w:szCs w:val="22"/>
          <w:lang w:val="en-GB"/>
        </w:rPr>
        <w:t>cle 32</w:t>
      </w:r>
      <w:r w:rsidR="00B613A1">
        <w:rPr>
          <w:rFonts w:asciiTheme="minorHAnsi" w:hAnsiTheme="minorHAnsi"/>
          <w:sz w:val="22"/>
          <w:szCs w:val="22"/>
          <w:lang w:val="en-GB"/>
        </w:rPr>
        <w:t>(</w:t>
      </w:r>
      <w:r w:rsidR="00603222" w:rsidRPr="000A6B0A">
        <w:rPr>
          <w:rFonts w:asciiTheme="minorHAnsi" w:hAnsiTheme="minorHAnsi"/>
          <w:sz w:val="22"/>
          <w:szCs w:val="22"/>
          <w:lang w:val="en-GB"/>
        </w:rPr>
        <w:t>3</w:t>
      </w:r>
      <w:r w:rsidR="00B613A1">
        <w:rPr>
          <w:rFonts w:asciiTheme="minorHAnsi" w:hAnsiTheme="minorHAnsi"/>
          <w:sz w:val="22"/>
          <w:szCs w:val="22"/>
          <w:lang w:val="en-GB"/>
        </w:rPr>
        <w:t>)</w:t>
      </w:r>
      <w:r w:rsidR="00603222" w:rsidRPr="000A6B0A">
        <w:rPr>
          <w:rFonts w:asciiTheme="minorHAnsi" w:hAnsiTheme="minorHAnsi"/>
          <w:sz w:val="22"/>
          <w:szCs w:val="22"/>
          <w:lang w:val="en-GB"/>
        </w:rPr>
        <w:t xml:space="preserve"> of Directive 2012/34/EU</w:t>
      </w:r>
      <w:r w:rsidR="000D2D45" w:rsidRPr="000A6B0A">
        <w:rPr>
          <w:rFonts w:asciiTheme="minorHAnsi" w:hAnsiTheme="minorHAnsi"/>
          <w:sz w:val="22"/>
          <w:szCs w:val="22"/>
          <w:lang w:val="en-GB"/>
        </w:rPr>
        <w:t xml:space="preserve"> (recovery of long term cost). This is the case for t</w:t>
      </w:r>
      <w:r w:rsidR="00D130AD" w:rsidRPr="000A6B0A">
        <w:rPr>
          <w:rFonts w:asciiTheme="minorHAnsi" w:hAnsiTheme="minorHAnsi"/>
          <w:sz w:val="22"/>
          <w:szCs w:val="22"/>
          <w:lang w:val="en-GB"/>
        </w:rPr>
        <w:t xml:space="preserve">he Diabolo project in Belgium, </w:t>
      </w:r>
      <w:r w:rsidR="000D2D45" w:rsidRPr="000A6B0A">
        <w:rPr>
          <w:rFonts w:asciiTheme="minorHAnsi" w:hAnsiTheme="minorHAnsi"/>
          <w:sz w:val="22"/>
          <w:szCs w:val="22"/>
          <w:lang w:val="en-GB"/>
        </w:rPr>
        <w:t>for the high speed line Amsterdam-Breda-Be</w:t>
      </w:r>
      <w:r w:rsidR="00D130AD" w:rsidRPr="000A6B0A">
        <w:rPr>
          <w:rFonts w:asciiTheme="minorHAnsi" w:hAnsiTheme="minorHAnsi"/>
          <w:sz w:val="22"/>
          <w:szCs w:val="22"/>
          <w:lang w:val="en-GB"/>
        </w:rPr>
        <w:t xml:space="preserve">lgian border in the Netherlands, </w:t>
      </w:r>
      <w:r w:rsidR="000D2D45" w:rsidRPr="000A6B0A">
        <w:rPr>
          <w:rFonts w:asciiTheme="minorHAnsi" w:hAnsiTheme="minorHAnsi"/>
          <w:sz w:val="22"/>
          <w:szCs w:val="22"/>
          <w:lang w:val="en-GB"/>
        </w:rPr>
        <w:t xml:space="preserve">for the rail line between Stockholm and </w:t>
      </w:r>
      <w:r w:rsidR="00495EEB">
        <w:rPr>
          <w:rFonts w:asciiTheme="minorHAnsi" w:hAnsiTheme="minorHAnsi"/>
          <w:sz w:val="22"/>
          <w:szCs w:val="22"/>
          <w:lang w:val="en-GB"/>
        </w:rPr>
        <w:t>t</w:t>
      </w:r>
      <w:r w:rsidR="000D2D45" w:rsidRPr="000A6B0A">
        <w:rPr>
          <w:rFonts w:asciiTheme="minorHAnsi" w:hAnsiTheme="minorHAnsi"/>
          <w:sz w:val="22"/>
          <w:szCs w:val="22"/>
          <w:lang w:val="en-GB"/>
        </w:rPr>
        <w:t>he Arlanda airport in Sweden</w:t>
      </w:r>
      <w:r w:rsidR="00736540">
        <w:rPr>
          <w:rFonts w:asciiTheme="minorHAnsi" w:hAnsiTheme="minorHAnsi"/>
          <w:sz w:val="22"/>
          <w:szCs w:val="22"/>
          <w:lang w:val="en-GB"/>
        </w:rPr>
        <w:t>, for the Tours-Bordeaux line in France, and for the Channel Tunnel linking France to the UK.</w:t>
      </w:r>
      <w:r w:rsidR="000D2D45" w:rsidRPr="000A6B0A">
        <w:rPr>
          <w:rFonts w:asciiTheme="minorHAnsi" w:hAnsiTheme="minorHAnsi"/>
          <w:sz w:val="22"/>
          <w:szCs w:val="22"/>
          <w:lang w:val="en-GB"/>
        </w:rPr>
        <w:t xml:space="preserve">. </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The regulatory asset base</w:t>
      </w:r>
    </w:p>
    <w:p w:rsidR="000D2D45" w:rsidRPr="000A6B0A" w:rsidRDefault="000D2D45" w:rsidP="000D2D45">
      <w:pPr>
        <w:spacing w:line="276" w:lineRule="auto"/>
        <w:jc w:val="both"/>
        <w:rPr>
          <w:rFonts w:asciiTheme="minorHAnsi" w:hAnsiTheme="minorHAnsi"/>
          <w:b/>
          <w:sz w:val="22"/>
          <w:szCs w:val="22"/>
          <w:lang w:val="en-GB"/>
        </w:rPr>
      </w:pPr>
    </w:p>
    <w:p w:rsidR="000D2D45" w:rsidRPr="000A6B0A"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w:t>
      </w:r>
      <w:r w:rsidR="00234B6A" w:rsidRPr="000A6B0A">
        <w:rPr>
          <w:rFonts w:asciiTheme="minorHAnsi" w:hAnsiTheme="minorHAnsi"/>
          <w:sz w:val="22"/>
          <w:szCs w:val="22"/>
          <w:lang w:val="en-GB"/>
        </w:rPr>
        <w:t xml:space="preserve">four </w:t>
      </w:r>
      <w:r w:rsidRPr="000A6B0A">
        <w:rPr>
          <w:rFonts w:asciiTheme="minorHAnsi" w:hAnsiTheme="minorHAnsi"/>
          <w:sz w:val="22"/>
          <w:szCs w:val="22"/>
          <w:lang w:val="en-GB"/>
        </w:rPr>
        <w:t xml:space="preserve">IRG-Rail members a regulatory asset base is determined for charging purposes. This is the case </w:t>
      </w:r>
      <w:r w:rsidR="00CB458F" w:rsidRPr="000A6B0A">
        <w:rPr>
          <w:rFonts w:asciiTheme="minorHAnsi" w:hAnsiTheme="minorHAnsi"/>
          <w:sz w:val="22"/>
          <w:szCs w:val="22"/>
          <w:lang w:val="en-GB"/>
        </w:rPr>
        <w:t xml:space="preserve">in </w:t>
      </w:r>
      <w:r w:rsidRPr="000A6B0A">
        <w:rPr>
          <w:rFonts w:asciiTheme="minorHAnsi" w:hAnsiTheme="minorHAnsi"/>
          <w:sz w:val="22"/>
          <w:szCs w:val="22"/>
          <w:lang w:val="en-GB"/>
        </w:rPr>
        <w:t>Croatia, Germany</w:t>
      </w:r>
      <w:r w:rsidR="00234B6A" w:rsidRPr="000A6B0A">
        <w:rPr>
          <w:rFonts w:asciiTheme="minorHAnsi" w:hAnsiTheme="minorHAnsi"/>
          <w:sz w:val="22"/>
          <w:szCs w:val="22"/>
          <w:lang w:val="en-GB"/>
        </w:rPr>
        <w:t>, Italy</w:t>
      </w:r>
      <w:r w:rsidRPr="000A6B0A">
        <w:rPr>
          <w:rFonts w:asciiTheme="minorHAnsi" w:hAnsiTheme="minorHAnsi"/>
          <w:sz w:val="22"/>
          <w:szCs w:val="22"/>
          <w:lang w:val="en-GB"/>
        </w:rPr>
        <w:t xml:space="preserve"> and the United Kingdom. In </w:t>
      </w:r>
      <w:r w:rsidR="006D5296" w:rsidRPr="000A6B0A">
        <w:rPr>
          <w:rFonts w:asciiTheme="minorHAnsi" w:hAnsiTheme="minorHAnsi"/>
          <w:sz w:val="22"/>
          <w:szCs w:val="22"/>
          <w:lang w:val="en-GB"/>
        </w:rPr>
        <w:t>Germany</w:t>
      </w:r>
      <w:r w:rsidR="00234B6A" w:rsidRPr="000A6B0A">
        <w:rPr>
          <w:rFonts w:asciiTheme="minorHAnsi" w:hAnsiTheme="minorHAnsi"/>
          <w:sz w:val="22"/>
          <w:szCs w:val="22"/>
          <w:lang w:val="en-GB"/>
        </w:rPr>
        <w:t>, Italy</w:t>
      </w:r>
      <w:r w:rsidRPr="000A6B0A">
        <w:rPr>
          <w:rFonts w:asciiTheme="minorHAnsi" w:hAnsiTheme="minorHAnsi"/>
          <w:sz w:val="22"/>
          <w:szCs w:val="22"/>
          <w:lang w:val="en-GB"/>
        </w:rPr>
        <w:t xml:space="preserve"> and the United Kingdom the calculation is based on both internal data (cost data) and external data (annual report). In Croatia the estimation is only based on internal data. </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0"/>
          <w:numId w:val="19"/>
        </w:numPr>
        <w:spacing w:line="276" w:lineRule="auto"/>
        <w:jc w:val="both"/>
        <w:rPr>
          <w:rFonts w:asciiTheme="minorHAnsi" w:hAnsiTheme="minorHAnsi"/>
          <w:i/>
          <w:sz w:val="22"/>
          <w:szCs w:val="22"/>
          <w:lang w:val="en-GB"/>
        </w:rPr>
      </w:pPr>
      <w:r w:rsidRPr="000A6B0A">
        <w:rPr>
          <w:rFonts w:asciiTheme="minorHAnsi" w:hAnsiTheme="minorHAnsi"/>
          <w:i/>
          <w:sz w:val="22"/>
          <w:szCs w:val="22"/>
          <w:lang w:val="en-GB"/>
        </w:rPr>
        <w:t>Valuation of assets</w:t>
      </w:r>
    </w:p>
    <w:p w:rsidR="000D2D45" w:rsidRPr="000A6B0A" w:rsidRDefault="000D2D45" w:rsidP="000D2D45">
      <w:pPr>
        <w:spacing w:line="276" w:lineRule="auto"/>
        <w:jc w:val="both"/>
        <w:rPr>
          <w:rFonts w:asciiTheme="minorHAnsi" w:hAnsiTheme="minorHAnsi"/>
          <w:b/>
          <w:sz w:val="22"/>
          <w:szCs w:val="22"/>
          <w:lang w:val="en-GB"/>
        </w:rPr>
      </w:pPr>
    </w:p>
    <w:p w:rsidR="000D2D45" w:rsidRDefault="000D2D45"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Only a few regulators reported having a national law or a practice for valuing assets for consideration within the calculation of charges. In Austria, Croatia</w:t>
      </w:r>
      <w:r w:rsidR="00094DB6">
        <w:rPr>
          <w:rFonts w:asciiTheme="minorHAnsi" w:hAnsiTheme="minorHAnsi"/>
          <w:sz w:val="22"/>
          <w:szCs w:val="22"/>
          <w:lang w:val="en-GB"/>
        </w:rPr>
        <w:t>, Portugal</w:t>
      </w:r>
      <w:r w:rsidRPr="000A6B0A">
        <w:rPr>
          <w:rFonts w:asciiTheme="minorHAnsi" w:hAnsiTheme="minorHAnsi"/>
          <w:sz w:val="22"/>
          <w:szCs w:val="22"/>
          <w:lang w:val="en-GB"/>
        </w:rPr>
        <w:t xml:space="preserve"> and Finland use an historic value approach for the value of assets. Germany uses the historic costs based on the balance </w:t>
      </w:r>
      <w:r w:rsidR="002A2503">
        <w:rPr>
          <w:rFonts w:asciiTheme="minorHAnsi" w:hAnsiTheme="minorHAnsi"/>
          <w:sz w:val="22"/>
          <w:szCs w:val="22"/>
          <w:lang w:val="en-GB"/>
        </w:rPr>
        <w:t>sheets at the start of the regulation period which over time are adjusted by inflation and productivity increase</w:t>
      </w:r>
      <w:r w:rsidRPr="000A6B0A">
        <w:rPr>
          <w:rFonts w:asciiTheme="minorHAnsi" w:hAnsiTheme="minorHAnsi"/>
          <w:sz w:val="22"/>
          <w:szCs w:val="22"/>
          <w:lang w:val="en-GB"/>
        </w:rPr>
        <w:t xml:space="preserve">. </w:t>
      </w:r>
      <w:r w:rsidR="00234B6A" w:rsidRPr="000A6B0A">
        <w:rPr>
          <w:rFonts w:asciiTheme="minorHAnsi" w:hAnsiTheme="minorHAnsi"/>
          <w:sz w:val="22"/>
          <w:szCs w:val="22"/>
          <w:lang w:val="en-GB"/>
        </w:rPr>
        <w:t xml:space="preserve">In Italy, the net book value of the assets used in operating the train service, </w:t>
      </w:r>
      <w:r w:rsidR="00234B6A" w:rsidRPr="000A6B0A">
        <w:rPr>
          <w:rFonts w:asciiTheme="minorHAnsi" w:hAnsiTheme="minorHAnsi"/>
          <w:sz w:val="22"/>
          <w:szCs w:val="22"/>
          <w:lang w:val="en-GB"/>
        </w:rPr>
        <w:lastRenderedPageBreak/>
        <w:t>with the exclusion of the assets financed by public subsidies, is taken into account for the computation of the cost of capital; IAS and IFRS apply.</w:t>
      </w:r>
    </w:p>
    <w:p w:rsidR="00094DB6" w:rsidRDefault="00094DB6" w:rsidP="000D2D45">
      <w:pPr>
        <w:spacing w:line="276" w:lineRule="auto"/>
        <w:jc w:val="both"/>
        <w:rPr>
          <w:rFonts w:asciiTheme="minorHAnsi" w:hAnsiTheme="minorHAnsi"/>
          <w:sz w:val="22"/>
          <w:szCs w:val="22"/>
          <w:lang w:val="en-GB"/>
        </w:rPr>
      </w:pPr>
    </w:p>
    <w:p w:rsidR="00094DB6" w:rsidRDefault="00094DB6" w:rsidP="000D2D45">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Regarding the assets, the Portuguese law, Decree-law 217/2015, which transposed Directive 2012/34/EU, says in its article 30º, n. º 9, b) that the IM must prepare and keep up-to-date a register of its assets and assets under its responsibility, used to assess the financing needed to repair or replace, and the record should be accompanied by detailed information on the expenses with the renovation and modernization of the infrastructure. Besides what is defined in the in the Regulation 2015/909, (article 3, nº3), the national law, Decree-law 217/2015 does not say anything more. The Portuguese regulatory body shall </w:t>
      </w:r>
      <w:r w:rsidR="00D70DA5">
        <w:rPr>
          <w:rFonts w:asciiTheme="minorHAnsi" w:hAnsiTheme="minorHAnsi"/>
          <w:sz w:val="22"/>
          <w:szCs w:val="22"/>
          <w:lang w:val="en-GB"/>
        </w:rPr>
        <w:t>monitor</w:t>
      </w:r>
      <w:r>
        <w:rPr>
          <w:rFonts w:asciiTheme="minorHAnsi" w:hAnsiTheme="minorHAnsi"/>
          <w:sz w:val="22"/>
          <w:szCs w:val="22"/>
          <w:lang w:val="en-GB"/>
        </w:rPr>
        <w:t xml:space="preserve"> how the infrastructure manager </w:t>
      </w:r>
      <w:r w:rsidR="00D70DA5">
        <w:rPr>
          <w:rFonts w:asciiTheme="minorHAnsi" w:hAnsiTheme="minorHAnsi"/>
          <w:sz w:val="22"/>
          <w:szCs w:val="22"/>
          <w:lang w:val="en-GB"/>
        </w:rPr>
        <w:t xml:space="preserve">will </w:t>
      </w:r>
      <w:r>
        <w:rPr>
          <w:rFonts w:asciiTheme="minorHAnsi" w:hAnsiTheme="minorHAnsi"/>
          <w:sz w:val="22"/>
          <w:szCs w:val="22"/>
          <w:lang w:val="en-GB"/>
        </w:rPr>
        <w:t>apply this, since all the charging system is being revised at this moment.</w:t>
      </w:r>
    </w:p>
    <w:p w:rsidR="00D70DA5" w:rsidRDefault="00D70DA5" w:rsidP="000D2D45">
      <w:pPr>
        <w:spacing w:line="276" w:lineRule="auto"/>
        <w:jc w:val="both"/>
        <w:rPr>
          <w:rFonts w:asciiTheme="minorHAnsi" w:hAnsiTheme="minorHAnsi"/>
          <w:sz w:val="22"/>
          <w:szCs w:val="22"/>
          <w:lang w:val="en-GB"/>
        </w:rPr>
      </w:pPr>
    </w:p>
    <w:p w:rsidR="00D70DA5" w:rsidRDefault="00D70DA5" w:rsidP="00D70DA5">
      <w:pPr>
        <w:pStyle w:val="Paragraphedeliste"/>
        <w:numPr>
          <w:ilvl w:val="0"/>
          <w:numId w:val="18"/>
        </w:numPr>
        <w:spacing w:line="276" w:lineRule="auto"/>
        <w:jc w:val="both"/>
        <w:rPr>
          <w:rFonts w:asciiTheme="minorHAnsi" w:hAnsiTheme="minorHAnsi"/>
          <w:i/>
          <w:noProof/>
          <w:sz w:val="22"/>
          <w:szCs w:val="22"/>
          <w:lang w:val="en-GB"/>
        </w:rPr>
      </w:pPr>
      <w:r>
        <w:rPr>
          <w:rFonts w:asciiTheme="minorHAnsi" w:hAnsiTheme="minorHAnsi"/>
          <w:i/>
          <w:noProof/>
          <w:sz w:val="22"/>
          <w:szCs w:val="22"/>
          <w:lang w:val="en-GB"/>
        </w:rPr>
        <w:t>Overview table for investments and subsidies</w:t>
      </w:r>
    </w:p>
    <w:p w:rsidR="00D70DA5" w:rsidRDefault="00D70DA5" w:rsidP="000D2D45">
      <w:pPr>
        <w:spacing w:line="276" w:lineRule="auto"/>
        <w:jc w:val="both"/>
        <w:rPr>
          <w:rFonts w:asciiTheme="minorHAnsi" w:hAnsiTheme="minorHAnsi"/>
          <w:sz w:val="22"/>
          <w:szCs w:val="22"/>
          <w:lang w:val="en-GB"/>
        </w:rPr>
      </w:pPr>
    </w:p>
    <w:tbl>
      <w:tblPr>
        <w:tblW w:w="8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134"/>
        <w:gridCol w:w="1265"/>
        <w:gridCol w:w="1411"/>
        <w:gridCol w:w="1275"/>
        <w:gridCol w:w="1276"/>
        <w:gridCol w:w="1276"/>
      </w:tblGrid>
      <w:tr w:rsidR="00D70DA5" w:rsidRPr="00C54CEB" w:rsidTr="00F76A2F">
        <w:trPr>
          <w:trHeight w:val="56"/>
          <w:tblHeader/>
          <w:jc w:val="center"/>
        </w:trPr>
        <w:tc>
          <w:tcPr>
            <w:tcW w:w="1227"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134"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The IM includes the cost of capital in its pricing scheme</w:t>
            </w:r>
          </w:p>
        </w:tc>
        <w:tc>
          <w:tcPr>
            <w:tcW w:w="1265"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The RB reviews the methodology to estimate the cost of capital</w:t>
            </w:r>
          </w:p>
        </w:tc>
        <w:tc>
          <w:tcPr>
            <w:tcW w:w="1411" w:type="dxa"/>
            <w:vMerge w:val="restart"/>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A regulatory asset base is determined to calculate the cost of capital</w:t>
            </w:r>
          </w:p>
        </w:tc>
        <w:tc>
          <w:tcPr>
            <w:tcW w:w="3827" w:type="dxa"/>
            <w:gridSpan w:val="3"/>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How are assets valued for their consideration within the calculation of charges?</w:t>
            </w:r>
          </w:p>
        </w:tc>
      </w:tr>
      <w:tr w:rsidR="00D70DA5" w:rsidRPr="000A6B0A" w:rsidTr="00F76A2F">
        <w:trPr>
          <w:trHeight w:val="56"/>
          <w:tblHeader/>
          <w:jc w:val="center"/>
        </w:trPr>
        <w:tc>
          <w:tcPr>
            <w:tcW w:w="1227" w:type="dxa"/>
            <w:shd w:val="pct50" w:color="auto" w:fill="auto"/>
          </w:tcPr>
          <w:p w:rsidR="00D70DA5" w:rsidRPr="000A6B0A" w:rsidRDefault="00D70DA5" w:rsidP="0086605D">
            <w:pPr>
              <w:pStyle w:val="Tabellenkopf"/>
              <w:spacing w:before="0" w:after="0"/>
              <w:jc w:val="center"/>
              <w:rPr>
                <w:rFonts w:ascii="Calibri" w:hAnsi="Calibri" w:cs="Calibri"/>
                <w:b/>
                <w:color w:val="FFFFFF"/>
                <w:sz w:val="20"/>
                <w:lang w:val="en-GB"/>
              </w:rPr>
            </w:pPr>
          </w:p>
        </w:tc>
        <w:tc>
          <w:tcPr>
            <w:tcW w:w="1134"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265"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411" w:type="dxa"/>
            <w:vMerge/>
            <w:shd w:val="pct50" w:color="auto" w:fill="auto"/>
          </w:tcPr>
          <w:p w:rsidR="00D70DA5" w:rsidRDefault="00D70DA5" w:rsidP="0086605D">
            <w:pPr>
              <w:pStyle w:val="Tabellenkopf"/>
              <w:spacing w:before="0" w:after="0"/>
              <w:jc w:val="center"/>
              <w:rPr>
                <w:rFonts w:ascii="Calibri" w:hAnsi="Calibri" w:cs="Calibri"/>
                <w:b/>
                <w:color w:val="FFFFFF"/>
                <w:sz w:val="16"/>
                <w:lang w:val="en-GB"/>
              </w:rPr>
            </w:pPr>
          </w:p>
        </w:tc>
        <w:tc>
          <w:tcPr>
            <w:tcW w:w="1275"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Based on current costs</w:t>
            </w:r>
          </w:p>
        </w:tc>
        <w:tc>
          <w:tcPr>
            <w:tcW w:w="1276" w:type="dxa"/>
            <w:shd w:val="pct50" w:color="auto" w:fill="auto"/>
            <w:vAlign w:val="center"/>
          </w:tcPr>
          <w:p w:rsidR="00D70DA5" w:rsidRPr="000A6B0A"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 xml:space="preserve">Based on historic costs </w:t>
            </w:r>
          </w:p>
        </w:tc>
        <w:tc>
          <w:tcPr>
            <w:tcW w:w="1276" w:type="dxa"/>
            <w:shd w:val="pct50" w:color="auto" w:fill="auto"/>
            <w:vAlign w:val="center"/>
          </w:tcPr>
          <w:p w:rsidR="00D70DA5" w:rsidRDefault="00D70DA5" w:rsidP="0086605D">
            <w:pPr>
              <w:pStyle w:val="Tabellenkopf"/>
              <w:spacing w:before="0" w:after="0"/>
              <w:jc w:val="center"/>
              <w:rPr>
                <w:rFonts w:ascii="Calibri" w:hAnsi="Calibri" w:cs="Calibri"/>
                <w:b/>
                <w:color w:val="FFFFFF"/>
                <w:sz w:val="16"/>
                <w:lang w:val="en-GB"/>
              </w:rPr>
            </w:pPr>
            <w:r>
              <w:rPr>
                <w:rFonts w:ascii="Calibri" w:hAnsi="Calibri" w:cs="Calibri"/>
                <w:b/>
                <w:color w:val="FFFFFF"/>
                <w:sz w:val="16"/>
                <w:lang w:val="en-GB"/>
              </w:rPr>
              <w:t>Other methodology</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Austria </w:t>
            </w:r>
          </w:p>
        </w:tc>
        <w:tc>
          <w:tcPr>
            <w:tcW w:w="11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Belgium</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Bulgaria</w:t>
            </w:r>
          </w:p>
        </w:tc>
        <w:tc>
          <w:tcPr>
            <w:tcW w:w="113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Croatia </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Denmark</w:t>
            </w:r>
          </w:p>
        </w:tc>
        <w:tc>
          <w:tcPr>
            <w:tcW w:w="113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Estonia</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8213C0"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Finland</w:t>
            </w:r>
          </w:p>
        </w:tc>
        <w:tc>
          <w:tcPr>
            <w:tcW w:w="113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tcBorders>
              <w:right w:val="single" w:sz="4" w:space="0" w:color="auto"/>
            </w:tcBorders>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b/>
                <w:sz w:val="20"/>
                <w:lang w:val="en-GB"/>
              </w:rPr>
            </w:pPr>
            <w:r w:rsidRPr="000A6B0A">
              <w:rPr>
                <w:rFonts w:ascii="Calibri" w:hAnsi="Calibri" w:cs="Calibri"/>
                <w:b/>
                <w:sz w:val="20"/>
                <w:lang w:val="en-GB"/>
              </w:rPr>
              <w:t>France</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tcBorders>
              <w:right w:val="single" w:sz="4" w:space="0" w:color="auto"/>
            </w:tcBorders>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 xml:space="preserve">Germany  </w:t>
            </w:r>
          </w:p>
        </w:tc>
        <w:tc>
          <w:tcPr>
            <w:tcW w:w="11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Greece</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Hungary</w:t>
            </w:r>
          </w:p>
        </w:tc>
        <w:tc>
          <w:tcPr>
            <w:tcW w:w="11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Italy</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Latvia</w:t>
            </w:r>
          </w:p>
        </w:tc>
        <w:tc>
          <w:tcPr>
            <w:tcW w:w="1134"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Netherlands</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Norway</w:t>
            </w:r>
          </w:p>
        </w:tc>
        <w:tc>
          <w:tcPr>
            <w:tcW w:w="113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Poland</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D70DA5" w:rsidRPr="000A6B0A" w:rsidTr="00F76A2F">
        <w:trPr>
          <w:trHeight w:val="56"/>
          <w:jc w:val="center"/>
        </w:trPr>
        <w:tc>
          <w:tcPr>
            <w:tcW w:w="1227" w:type="dxa"/>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Portugal</w:t>
            </w:r>
          </w:p>
        </w:tc>
        <w:tc>
          <w:tcPr>
            <w:tcW w:w="1134"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6" w:type="dxa"/>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Romania</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FFFFFF" w:themeFill="background1"/>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Slovakia</w:t>
            </w:r>
          </w:p>
        </w:tc>
        <w:tc>
          <w:tcPr>
            <w:tcW w:w="1134"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65"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411"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75"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76"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76"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D9D9D9" w:themeFill="background1" w:themeFillShade="D9"/>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Slovenia</w:t>
            </w:r>
          </w:p>
        </w:tc>
        <w:tc>
          <w:tcPr>
            <w:tcW w:w="1134"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276" w:type="dxa"/>
            <w:shd w:val="clear" w:color="auto" w:fill="D9D9D9" w:themeFill="background1" w:themeFillShade="D9"/>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FFFFFF" w:themeFill="background1"/>
            <w:vAlign w:val="center"/>
          </w:tcPr>
          <w:p w:rsidR="00D70DA5" w:rsidRDefault="00D70DA5" w:rsidP="0086605D">
            <w:pPr>
              <w:pStyle w:val="Tabellenkopf"/>
              <w:spacing w:before="0" w:after="0" w:line="276" w:lineRule="auto"/>
              <w:jc w:val="center"/>
              <w:rPr>
                <w:rFonts w:ascii="Calibri" w:hAnsi="Calibri" w:cs="Calibri"/>
                <w:b/>
                <w:sz w:val="20"/>
                <w:lang w:val="en-GB"/>
              </w:rPr>
            </w:pPr>
            <w:r>
              <w:rPr>
                <w:rFonts w:ascii="Calibri" w:hAnsi="Calibri" w:cs="Calibri"/>
                <w:b/>
                <w:sz w:val="20"/>
                <w:lang w:val="en-GB"/>
              </w:rPr>
              <w:t>Spain</w:t>
            </w:r>
          </w:p>
        </w:tc>
        <w:tc>
          <w:tcPr>
            <w:tcW w:w="1134"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r>
              <w:rPr>
                <w:rStyle w:val="Appelnotedebasdep"/>
                <w:rFonts w:ascii="Calibri" w:hAnsi="Calibri"/>
                <w:sz w:val="20"/>
                <w:lang w:val="en-GB"/>
              </w:rPr>
              <w:footnoteReference w:id="82"/>
            </w:r>
          </w:p>
        </w:tc>
        <w:tc>
          <w:tcPr>
            <w:tcW w:w="1265"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008000"/>
                <w:sz w:val="28"/>
                <w:szCs w:val="28"/>
                <w:lang w:val="en-GB"/>
              </w:rPr>
              <w:t></w:t>
            </w:r>
          </w:p>
        </w:tc>
        <w:tc>
          <w:tcPr>
            <w:tcW w:w="1411"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275"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800000"/>
                <w:sz w:val="28"/>
                <w:szCs w:val="28"/>
                <w:lang w:val="en-GB"/>
              </w:rPr>
              <w:t></w:t>
            </w:r>
          </w:p>
        </w:tc>
        <w:tc>
          <w:tcPr>
            <w:tcW w:w="1276" w:type="dxa"/>
            <w:shd w:val="clear" w:color="auto" w:fill="FFFFFF" w:themeFill="background1"/>
            <w:vAlign w:val="center"/>
          </w:tcPr>
          <w:p w:rsidR="00D70DA5" w:rsidRDefault="00D70DA5">
            <w:pPr>
              <w:spacing w:line="276" w:lineRule="auto"/>
              <w:jc w:val="center"/>
              <w:rPr>
                <w:rFonts w:ascii="Wingdings 2" w:hAnsi="Wingdings 2"/>
                <w:b/>
                <w:color w:val="008000"/>
                <w:sz w:val="28"/>
                <w:szCs w:val="28"/>
                <w:lang w:val="en-GB"/>
              </w:rPr>
            </w:pPr>
            <w:r>
              <w:rPr>
                <w:rFonts w:ascii="Wingdings 2" w:hAnsi="Wingdings 2"/>
                <w:b/>
                <w:color w:val="008000"/>
                <w:sz w:val="28"/>
                <w:szCs w:val="28"/>
                <w:lang w:val="en-GB"/>
              </w:rPr>
              <w:t></w:t>
            </w:r>
          </w:p>
        </w:tc>
        <w:tc>
          <w:tcPr>
            <w:tcW w:w="1276" w:type="dxa"/>
            <w:shd w:val="clear" w:color="auto" w:fill="FFFFFF" w:themeFill="background1"/>
            <w:vAlign w:val="center"/>
          </w:tcPr>
          <w:p w:rsidR="00D70DA5" w:rsidRDefault="00D70DA5">
            <w:pPr>
              <w:spacing w:line="276" w:lineRule="auto"/>
              <w:jc w:val="center"/>
              <w:rPr>
                <w:rFonts w:ascii="Wingdings 2" w:hAnsi="Wingdings 2"/>
                <w:b/>
                <w:color w:val="800000"/>
                <w:sz w:val="28"/>
                <w:szCs w:val="28"/>
                <w:lang w:val="en-GB"/>
              </w:rPr>
            </w:pPr>
            <w:r>
              <w:rPr>
                <w:rFonts w:ascii="Wingdings 2" w:hAnsi="Wingdings 2"/>
                <w:b/>
                <w:color w:val="800000"/>
                <w:sz w:val="28"/>
                <w:szCs w:val="28"/>
                <w:lang w:val="en-GB"/>
              </w:rPr>
              <w:t></w:t>
            </w:r>
          </w:p>
        </w:tc>
      </w:tr>
      <w:tr w:rsidR="00D70DA5" w:rsidRPr="000A6B0A" w:rsidTr="0086605D">
        <w:trPr>
          <w:trHeight w:val="56"/>
          <w:jc w:val="center"/>
        </w:trPr>
        <w:tc>
          <w:tcPr>
            <w:tcW w:w="1227" w:type="dxa"/>
            <w:shd w:val="clear" w:color="auto" w:fill="D9D9D9" w:themeFill="background1" w:themeFillShade="D9"/>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Sweden</w:t>
            </w:r>
          </w:p>
        </w:tc>
        <w:tc>
          <w:tcPr>
            <w:tcW w:w="1134"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65"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411"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5" w:type="dxa"/>
            <w:shd w:val="clear" w:color="auto" w:fill="D9D9D9" w:themeFill="background1" w:themeFillShade="D9"/>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D9D9D9" w:themeFill="background1" w:themeFillShade="D9"/>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r>
      <w:tr w:rsidR="00F76A2F" w:rsidRPr="000A6B0A" w:rsidTr="00F76A2F">
        <w:trPr>
          <w:trHeight w:val="56"/>
          <w:jc w:val="center"/>
        </w:trPr>
        <w:tc>
          <w:tcPr>
            <w:tcW w:w="1227" w:type="dxa"/>
            <w:shd w:val="clear" w:color="auto" w:fill="FFFFFF" w:themeFill="background1"/>
            <w:vAlign w:val="center"/>
          </w:tcPr>
          <w:p w:rsidR="00D70DA5" w:rsidRPr="000A6B0A" w:rsidRDefault="00D70DA5" w:rsidP="0086605D">
            <w:pPr>
              <w:pStyle w:val="Tabellenkopf"/>
              <w:spacing w:before="0" w:after="0"/>
              <w:jc w:val="center"/>
              <w:rPr>
                <w:rFonts w:ascii="Calibri" w:hAnsi="Calibri" w:cs="Calibri"/>
                <w:b/>
                <w:sz w:val="20"/>
                <w:lang w:val="en-GB"/>
              </w:rPr>
            </w:pPr>
            <w:r>
              <w:rPr>
                <w:rFonts w:ascii="Calibri" w:hAnsi="Calibri" w:cs="Calibri"/>
                <w:b/>
                <w:sz w:val="20"/>
                <w:lang w:val="en-GB"/>
              </w:rPr>
              <w:t>United-Kingdom</w:t>
            </w:r>
          </w:p>
        </w:tc>
        <w:tc>
          <w:tcPr>
            <w:tcW w:w="1134"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65"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411"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008000"/>
                <w:sz w:val="28"/>
                <w:szCs w:val="28"/>
                <w:lang w:val="en-GB"/>
              </w:rPr>
              <w:t></w:t>
            </w:r>
          </w:p>
        </w:tc>
        <w:tc>
          <w:tcPr>
            <w:tcW w:w="1275"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800000"/>
                <w:sz w:val="28"/>
                <w:szCs w:val="28"/>
                <w:lang w:val="en-GB"/>
              </w:rPr>
              <w:t></w:t>
            </w:r>
          </w:p>
        </w:tc>
        <w:tc>
          <w:tcPr>
            <w:tcW w:w="1276" w:type="dxa"/>
            <w:shd w:val="clear" w:color="auto" w:fill="FFFFFF" w:themeFill="background1"/>
            <w:vAlign w:val="center"/>
          </w:tcPr>
          <w:p w:rsidR="00D70DA5" w:rsidRPr="000A6B0A" w:rsidRDefault="00D70DA5">
            <w:pPr>
              <w:jc w:val="center"/>
              <w:rPr>
                <w:rFonts w:ascii="Wingdings 2" w:hAnsi="Wingdings 2"/>
                <w:b/>
                <w:color w:val="008000"/>
                <w:sz w:val="28"/>
                <w:szCs w:val="28"/>
                <w:lang w:val="en-GB"/>
              </w:rPr>
            </w:pPr>
            <w:r w:rsidRPr="000A6B0A">
              <w:rPr>
                <w:rFonts w:ascii="Wingdings 2" w:hAnsi="Wingdings 2"/>
                <w:b/>
                <w:color w:val="800000"/>
                <w:sz w:val="28"/>
                <w:szCs w:val="28"/>
                <w:lang w:val="en-GB"/>
              </w:rPr>
              <w:t></w:t>
            </w:r>
          </w:p>
        </w:tc>
        <w:tc>
          <w:tcPr>
            <w:tcW w:w="1276" w:type="dxa"/>
            <w:shd w:val="clear" w:color="auto" w:fill="FFFFFF" w:themeFill="background1"/>
            <w:vAlign w:val="center"/>
          </w:tcPr>
          <w:p w:rsidR="00D70DA5" w:rsidRPr="000A6B0A" w:rsidRDefault="00D70DA5">
            <w:pPr>
              <w:jc w:val="center"/>
              <w:rPr>
                <w:rFonts w:ascii="Wingdings 2" w:hAnsi="Wingdings 2"/>
                <w:b/>
                <w:color w:val="800000"/>
                <w:sz w:val="28"/>
                <w:szCs w:val="28"/>
                <w:lang w:val="en-GB"/>
              </w:rPr>
            </w:pPr>
            <w:r w:rsidRPr="000A6B0A">
              <w:rPr>
                <w:rFonts w:ascii="Wingdings 2" w:hAnsi="Wingdings 2"/>
                <w:b/>
                <w:color w:val="008000"/>
                <w:sz w:val="28"/>
                <w:szCs w:val="28"/>
                <w:lang w:val="en-GB"/>
              </w:rPr>
              <w:t></w:t>
            </w:r>
          </w:p>
        </w:tc>
      </w:tr>
    </w:tbl>
    <w:p w:rsidR="00D70DA5" w:rsidRDefault="00D70DA5">
      <w:pPr>
        <w:rPr>
          <w:rFonts w:asciiTheme="minorHAnsi" w:hAnsiTheme="minorHAnsi"/>
          <w:b/>
          <w:sz w:val="22"/>
          <w:szCs w:val="22"/>
          <w:lang w:val="en-GB"/>
        </w:rPr>
      </w:pPr>
    </w:p>
    <w:p w:rsidR="000D2D45" w:rsidRPr="000A6B0A" w:rsidRDefault="000D2D45" w:rsidP="00E561FB">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lastRenderedPageBreak/>
        <w:t>Efficiency</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420D3F"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Some regulatory bodies review the efficiency of the </w:t>
      </w:r>
      <w:r w:rsidR="009F3BE7">
        <w:rPr>
          <w:rFonts w:asciiTheme="minorHAnsi" w:hAnsiTheme="minorHAnsi"/>
          <w:sz w:val="22"/>
          <w:szCs w:val="22"/>
          <w:lang w:val="en-GB"/>
        </w:rPr>
        <w:t>IM</w:t>
      </w:r>
      <w:r w:rsidRPr="000A6B0A">
        <w:rPr>
          <w:rFonts w:asciiTheme="minorHAnsi" w:hAnsiTheme="minorHAnsi"/>
          <w:sz w:val="22"/>
          <w:szCs w:val="22"/>
          <w:lang w:val="en-GB"/>
        </w:rPr>
        <w:t xml:space="preserve">. </w:t>
      </w:r>
      <w:r w:rsidR="000D2D45" w:rsidRPr="000A6B0A">
        <w:rPr>
          <w:rFonts w:asciiTheme="minorHAnsi" w:hAnsiTheme="minorHAnsi"/>
          <w:sz w:val="22"/>
          <w:szCs w:val="22"/>
          <w:lang w:val="en-GB"/>
        </w:rPr>
        <w:t xml:space="preserve">The ORR reviews the regulatory accounts and produces an annual efficiency and finance assessment of Network Rail. The ORR’s </w:t>
      </w:r>
      <w:r w:rsidR="000D2D45" w:rsidRPr="000A6B0A">
        <w:rPr>
          <w:rFonts w:asciiTheme="minorHAnsi" w:hAnsiTheme="minorHAnsi"/>
          <w:i/>
          <w:sz w:val="22"/>
          <w:szCs w:val="22"/>
          <w:lang w:val="en-GB"/>
        </w:rPr>
        <w:t xml:space="preserve">final determination </w:t>
      </w:r>
      <w:r w:rsidR="000D2D45" w:rsidRPr="000A6B0A">
        <w:rPr>
          <w:rFonts w:asciiTheme="minorHAnsi" w:hAnsiTheme="minorHAnsi"/>
          <w:sz w:val="22"/>
          <w:szCs w:val="22"/>
          <w:lang w:val="en-GB"/>
        </w:rPr>
        <w:t xml:space="preserve">sets the complete costs of Network Rail with respect to some efficiency assumptions on costs that allow reaching the outputs set by railway funders. Then, the assumptions ORR has made on the level of Network Rail’s maintenance and renewals expenditure will be reflected in the level of charges that operators pay, given that charges are set to be cost reflective. Those assumptions are made </w:t>
      </w:r>
      <w:r w:rsidR="000D2D45" w:rsidRPr="000A6B0A">
        <w:rPr>
          <w:rFonts w:asciiTheme="minorHAnsi" w:hAnsiTheme="minorHAnsi"/>
          <w:i/>
          <w:sz w:val="22"/>
          <w:szCs w:val="22"/>
          <w:lang w:val="en-GB"/>
        </w:rPr>
        <w:t>ex</w:t>
      </w:r>
      <w:r w:rsidR="00771B6E" w:rsidRPr="000A6B0A">
        <w:rPr>
          <w:rFonts w:asciiTheme="minorHAnsi" w:hAnsiTheme="minorHAnsi"/>
          <w:i/>
          <w:sz w:val="22"/>
          <w:szCs w:val="22"/>
          <w:lang w:val="en-GB"/>
        </w:rPr>
        <w:t xml:space="preserve"> </w:t>
      </w:r>
      <w:r w:rsidR="000D2D45" w:rsidRPr="000A6B0A">
        <w:rPr>
          <w:rFonts w:asciiTheme="minorHAnsi" w:hAnsiTheme="minorHAnsi"/>
          <w:i/>
          <w:sz w:val="22"/>
          <w:szCs w:val="22"/>
          <w:lang w:val="en-GB"/>
        </w:rPr>
        <w:t xml:space="preserve">ante </w:t>
      </w:r>
      <w:r w:rsidR="000D2D45" w:rsidRPr="000A6B0A">
        <w:rPr>
          <w:rFonts w:asciiTheme="minorHAnsi" w:hAnsiTheme="minorHAnsi"/>
          <w:sz w:val="22"/>
          <w:szCs w:val="22"/>
          <w:lang w:val="en-GB"/>
        </w:rPr>
        <w:t xml:space="preserve">for the five year control period. </w:t>
      </w:r>
    </w:p>
    <w:p w:rsidR="000D2D45" w:rsidRPr="000A6B0A" w:rsidRDefault="000D2D45" w:rsidP="000D2D45">
      <w:pPr>
        <w:spacing w:line="276" w:lineRule="auto"/>
        <w:jc w:val="both"/>
        <w:rPr>
          <w:rFonts w:asciiTheme="minorHAnsi" w:hAnsiTheme="minorHAnsi"/>
          <w:sz w:val="22"/>
          <w:szCs w:val="22"/>
          <w:lang w:val="en-GB"/>
        </w:rPr>
      </w:pPr>
    </w:p>
    <w:p w:rsidR="000D2D45" w:rsidRDefault="006D5296" w:rsidP="000D2D45">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w:t>
      </w:r>
      <w:r w:rsidR="000D2D45" w:rsidRPr="000A6B0A">
        <w:rPr>
          <w:rFonts w:asciiTheme="minorHAnsi" w:hAnsiTheme="minorHAnsi"/>
          <w:sz w:val="22"/>
          <w:szCs w:val="22"/>
          <w:lang w:val="en-GB"/>
        </w:rPr>
        <w:t xml:space="preserve"> French and the Dutch </w:t>
      </w:r>
      <w:r w:rsidR="009617E5" w:rsidRPr="000A6B0A">
        <w:rPr>
          <w:rFonts w:asciiTheme="minorHAnsi" w:hAnsiTheme="minorHAnsi"/>
          <w:sz w:val="22"/>
          <w:szCs w:val="22"/>
          <w:lang w:val="en-GB"/>
        </w:rPr>
        <w:t>IM</w:t>
      </w:r>
      <w:r w:rsidR="00716577" w:rsidRPr="000A6B0A">
        <w:rPr>
          <w:rFonts w:asciiTheme="minorHAnsi" w:hAnsiTheme="minorHAnsi"/>
          <w:sz w:val="22"/>
          <w:szCs w:val="22"/>
          <w:lang w:val="en-GB"/>
        </w:rPr>
        <w:t>s</w:t>
      </w:r>
      <w:r w:rsidR="000D2D45"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also </w:t>
      </w:r>
      <w:r w:rsidR="000D2D45" w:rsidRPr="000A6B0A">
        <w:rPr>
          <w:rFonts w:asciiTheme="minorHAnsi" w:hAnsiTheme="minorHAnsi"/>
          <w:sz w:val="22"/>
          <w:szCs w:val="22"/>
          <w:lang w:val="en-GB"/>
        </w:rPr>
        <w:t xml:space="preserve">include efficiency targets within the annual evolution of </w:t>
      </w:r>
      <w:r w:rsidRPr="000A6B0A">
        <w:rPr>
          <w:rFonts w:asciiTheme="minorHAnsi" w:hAnsiTheme="minorHAnsi"/>
          <w:sz w:val="22"/>
          <w:szCs w:val="22"/>
          <w:lang w:val="en-GB"/>
        </w:rPr>
        <w:t xml:space="preserve">(some) </w:t>
      </w:r>
      <w:r w:rsidR="000D2D45" w:rsidRPr="000A6B0A">
        <w:rPr>
          <w:rFonts w:asciiTheme="minorHAnsi" w:hAnsiTheme="minorHAnsi"/>
          <w:sz w:val="22"/>
          <w:szCs w:val="22"/>
          <w:lang w:val="en-GB"/>
        </w:rPr>
        <w:t xml:space="preserve">charges. </w:t>
      </w:r>
      <w:r w:rsidR="00234B6A" w:rsidRPr="000A6B0A">
        <w:rPr>
          <w:rFonts w:asciiTheme="minorHAnsi" w:hAnsiTheme="minorHAnsi"/>
          <w:sz w:val="22"/>
          <w:szCs w:val="22"/>
          <w:lang w:val="en-GB"/>
        </w:rPr>
        <w:t xml:space="preserve">In Italy, after a process of consultation a target of an annual rate of 2% of reduction in total costs was adopted by the Regulatory body for the first regulatory period (2016-2021). </w:t>
      </w:r>
    </w:p>
    <w:p w:rsidR="002A2503" w:rsidRDefault="002A2503" w:rsidP="000D2D45">
      <w:pPr>
        <w:spacing w:line="276" w:lineRule="auto"/>
        <w:jc w:val="both"/>
        <w:rPr>
          <w:rFonts w:asciiTheme="minorHAnsi" w:hAnsiTheme="minorHAnsi"/>
          <w:sz w:val="22"/>
          <w:szCs w:val="22"/>
          <w:lang w:val="en-GB"/>
        </w:rPr>
      </w:pPr>
    </w:p>
    <w:p w:rsidR="002A2503" w:rsidRDefault="002A2503" w:rsidP="002A2503">
      <w:pPr>
        <w:spacing w:line="276" w:lineRule="auto"/>
        <w:jc w:val="both"/>
        <w:rPr>
          <w:rFonts w:asciiTheme="minorHAnsi" w:hAnsiTheme="minorHAnsi"/>
          <w:sz w:val="22"/>
          <w:szCs w:val="22"/>
          <w:lang w:val="en-US"/>
        </w:rPr>
      </w:pPr>
      <w:r w:rsidRPr="0086605D">
        <w:rPr>
          <w:rFonts w:asciiTheme="minorHAnsi" w:hAnsiTheme="minorHAnsi"/>
          <w:sz w:val="22"/>
          <w:szCs w:val="22"/>
          <w:lang w:val="en-US"/>
        </w:rPr>
        <w:t>In Germany the level of total costs is defined ev</w:t>
      </w:r>
      <w:r>
        <w:rPr>
          <w:rFonts w:asciiTheme="minorHAnsi" w:hAnsiTheme="minorHAnsi"/>
          <w:sz w:val="22"/>
          <w:szCs w:val="22"/>
          <w:lang w:val="en-GB"/>
        </w:rPr>
        <w:t>ery</w:t>
      </w:r>
      <w:r w:rsidRPr="0086605D">
        <w:rPr>
          <w:rFonts w:asciiTheme="minorHAnsi" w:hAnsiTheme="minorHAnsi"/>
          <w:sz w:val="22"/>
          <w:szCs w:val="22"/>
          <w:lang w:val="en-US"/>
        </w:rPr>
        <w:t xml:space="preserve"> five years for the r</w:t>
      </w:r>
      <w:r>
        <w:rPr>
          <w:rFonts w:asciiTheme="minorHAnsi" w:hAnsiTheme="minorHAnsi"/>
          <w:sz w:val="22"/>
          <w:szCs w:val="22"/>
          <w:lang w:val="en-US"/>
        </w:rPr>
        <w:t>egulatory period</w:t>
      </w:r>
      <w:r w:rsidRPr="0086605D">
        <w:rPr>
          <w:rFonts w:asciiTheme="minorHAnsi" w:hAnsiTheme="minorHAnsi"/>
          <w:sz w:val="22"/>
          <w:szCs w:val="22"/>
          <w:lang w:val="en-US"/>
        </w:rPr>
        <w:t xml:space="preserve">. </w:t>
      </w:r>
      <w:r>
        <w:rPr>
          <w:rFonts w:asciiTheme="minorHAnsi" w:hAnsiTheme="minorHAnsi"/>
          <w:sz w:val="22"/>
          <w:szCs w:val="22"/>
          <w:lang w:val="en-US"/>
        </w:rPr>
        <w:t xml:space="preserve">During the regulatory period an annual ceiling of costs is determined, which considers inflation and productivity change rate </w:t>
      </w:r>
      <w:r w:rsidR="00490DD2">
        <w:rPr>
          <w:rFonts w:asciiTheme="minorHAnsi" w:hAnsiTheme="minorHAnsi"/>
          <w:sz w:val="22"/>
          <w:szCs w:val="22"/>
          <w:lang w:val="en-US"/>
        </w:rPr>
        <w:t>as the</w:t>
      </w:r>
      <w:r>
        <w:rPr>
          <w:rFonts w:asciiTheme="minorHAnsi" w:hAnsiTheme="minorHAnsi"/>
          <w:sz w:val="22"/>
          <w:szCs w:val="22"/>
          <w:lang w:val="en-US"/>
        </w:rPr>
        <w:t xml:space="preserve"> ceiling for charges proposed by the IM. </w:t>
      </w:r>
    </w:p>
    <w:p w:rsidR="002A2503" w:rsidRDefault="002A2503" w:rsidP="002A2503">
      <w:pPr>
        <w:spacing w:line="276" w:lineRule="auto"/>
        <w:jc w:val="both"/>
        <w:rPr>
          <w:rFonts w:asciiTheme="minorHAnsi" w:hAnsiTheme="minorHAnsi"/>
          <w:sz w:val="22"/>
          <w:szCs w:val="22"/>
          <w:lang w:val="en-GB"/>
        </w:rPr>
      </w:pPr>
    </w:p>
    <w:p w:rsidR="002A2503" w:rsidRPr="0086605D" w:rsidRDefault="002A2503" w:rsidP="000D2D45">
      <w:pPr>
        <w:spacing w:line="276" w:lineRule="auto"/>
        <w:jc w:val="both"/>
        <w:rPr>
          <w:rFonts w:asciiTheme="minorHAnsi" w:hAnsiTheme="minorHAnsi"/>
          <w:sz w:val="22"/>
          <w:szCs w:val="22"/>
          <w:lang w:val="en-US"/>
        </w:rPr>
      </w:pPr>
      <w:r w:rsidRPr="0086605D">
        <w:rPr>
          <w:rFonts w:asciiTheme="minorHAnsi" w:hAnsiTheme="minorHAnsi"/>
          <w:sz w:val="22"/>
          <w:szCs w:val="22"/>
          <w:lang w:val="en-US"/>
        </w:rPr>
        <w:t>The mechanism of</w:t>
      </w:r>
      <w:r>
        <w:rPr>
          <w:rFonts w:asciiTheme="minorHAnsi" w:hAnsiTheme="minorHAnsi"/>
          <w:sz w:val="22"/>
          <w:szCs w:val="22"/>
          <w:lang w:val="en-US"/>
        </w:rPr>
        <w:t xml:space="preserve"> </w:t>
      </w:r>
      <w:r w:rsidRPr="0086605D">
        <w:rPr>
          <w:rFonts w:asciiTheme="minorHAnsi" w:hAnsiTheme="minorHAnsi"/>
          <w:sz w:val="22"/>
          <w:szCs w:val="22"/>
          <w:lang w:val="en-US"/>
        </w:rPr>
        <w:t xml:space="preserve">the German incentive system </w:t>
      </w:r>
      <w:r>
        <w:rPr>
          <w:rFonts w:asciiTheme="minorHAnsi" w:hAnsiTheme="minorHAnsi"/>
          <w:sz w:val="22"/>
          <w:szCs w:val="22"/>
          <w:lang w:val="en-US"/>
        </w:rPr>
        <w:t>is</w:t>
      </w:r>
      <w:r w:rsidRPr="0086605D">
        <w:rPr>
          <w:rFonts w:asciiTheme="minorHAnsi" w:hAnsiTheme="minorHAnsi"/>
          <w:sz w:val="22"/>
          <w:szCs w:val="22"/>
          <w:lang w:val="en-US"/>
        </w:rPr>
        <w:t xml:space="preserve"> twofold: if the actual costs of</w:t>
      </w:r>
      <w:r>
        <w:rPr>
          <w:rFonts w:asciiTheme="minorHAnsi" w:hAnsiTheme="minorHAnsi"/>
          <w:sz w:val="22"/>
          <w:szCs w:val="22"/>
          <w:lang w:val="en-US"/>
        </w:rPr>
        <w:t xml:space="preserve"> t</w:t>
      </w:r>
      <w:r w:rsidRPr="0086605D">
        <w:rPr>
          <w:rFonts w:asciiTheme="minorHAnsi" w:hAnsiTheme="minorHAnsi"/>
          <w:sz w:val="22"/>
          <w:szCs w:val="22"/>
          <w:lang w:val="en-US"/>
        </w:rPr>
        <w:t>he IM</w:t>
      </w:r>
      <w:r>
        <w:rPr>
          <w:rFonts w:asciiTheme="minorHAnsi" w:hAnsiTheme="minorHAnsi"/>
          <w:sz w:val="22"/>
          <w:szCs w:val="22"/>
          <w:lang w:val="en-US"/>
        </w:rPr>
        <w:t xml:space="preserve"> decrease during a regulatory period, the charges do not, but the profit increases. Therefore an incentive to cost reductions is set. Only with the next regulatory period cost changes are considered for the determination of the level of total costs. The second incentive is given by the determination of a demand and amounts of train kilometers for the whole regulatory period. Any extension of demand does not change the calculation, but increases the profit of the IM. Therefore the system sets an incentive to extend the amount of traffic on the rail network.</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Market segments</w:t>
      </w:r>
    </w:p>
    <w:p w:rsidR="00603222" w:rsidRPr="000A6B0A" w:rsidRDefault="00603222" w:rsidP="00603222">
      <w:pPr>
        <w:spacing w:line="276" w:lineRule="auto"/>
        <w:jc w:val="both"/>
        <w:rPr>
          <w:rFonts w:asciiTheme="minorHAnsi" w:hAnsiTheme="minorHAnsi"/>
          <w:sz w:val="22"/>
          <w:szCs w:val="22"/>
          <w:lang w:val="en-GB"/>
        </w:rPr>
      </w:pPr>
    </w:p>
    <w:p w:rsidR="00716577" w:rsidRPr="000A6B0A" w:rsidRDefault="0071657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Regulatory bodies are responsible for controlling the list of market segments that </w:t>
      </w:r>
      <w:r w:rsidR="008D7736" w:rsidRPr="000A6B0A">
        <w:rPr>
          <w:rFonts w:asciiTheme="minorHAnsi" w:hAnsiTheme="minorHAnsi"/>
          <w:sz w:val="22"/>
          <w:szCs w:val="22"/>
          <w:lang w:val="en-GB"/>
        </w:rPr>
        <w:t xml:space="preserve">is </w:t>
      </w:r>
      <w:r w:rsidR="00B613A1">
        <w:rPr>
          <w:rFonts w:asciiTheme="minorHAnsi" w:hAnsiTheme="minorHAnsi"/>
          <w:sz w:val="22"/>
          <w:szCs w:val="22"/>
          <w:lang w:val="en-GB"/>
        </w:rPr>
        <w:t>identified</w:t>
      </w:r>
      <w:r w:rsidR="00B613A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in the network statement of the </w:t>
      </w:r>
      <w:r w:rsidR="009F3BE7">
        <w:rPr>
          <w:rFonts w:asciiTheme="minorHAnsi" w:hAnsiTheme="minorHAnsi"/>
          <w:sz w:val="22"/>
          <w:szCs w:val="22"/>
          <w:lang w:val="en-GB"/>
        </w:rPr>
        <w:t>IM</w:t>
      </w:r>
      <w:r w:rsidRPr="000A6B0A">
        <w:rPr>
          <w:rFonts w:asciiTheme="minorHAnsi" w:hAnsiTheme="minorHAnsi"/>
          <w:sz w:val="22"/>
          <w:szCs w:val="22"/>
          <w:lang w:val="en-GB"/>
        </w:rPr>
        <w:t xml:space="preserve"> (</w:t>
      </w:r>
      <w:r w:rsidR="00B613A1">
        <w:rPr>
          <w:rFonts w:asciiTheme="minorHAnsi" w:hAnsiTheme="minorHAnsi"/>
          <w:sz w:val="22"/>
          <w:szCs w:val="22"/>
          <w:lang w:val="en-GB"/>
        </w:rPr>
        <w:t>A</w:t>
      </w:r>
      <w:r w:rsidRPr="000A6B0A">
        <w:rPr>
          <w:rFonts w:asciiTheme="minorHAnsi" w:hAnsiTheme="minorHAnsi"/>
          <w:sz w:val="22"/>
          <w:szCs w:val="22"/>
          <w:lang w:val="en-GB"/>
        </w:rPr>
        <w:t>rticle 32</w:t>
      </w:r>
      <w:r w:rsidR="00B613A1">
        <w:rPr>
          <w:rFonts w:asciiTheme="minorHAnsi" w:hAnsiTheme="minorHAnsi"/>
          <w:sz w:val="22"/>
          <w:szCs w:val="22"/>
          <w:lang w:val="en-GB"/>
        </w:rPr>
        <w:t>(</w:t>
      </w:r>
      <w:r w:rsidRPr="000A6B0A">
        <w:rPr>
          <w:rFonts w:asciiTheme="minorHAnsi" w:hAnsiTheme="minorHAnsi"/>
          <w:sz w:val="22"/>
          <w:szCs w:val="22"/>
          <w:lang w:val="en-GB"/>
        </w:rPr>
        <w:t>1</w:t>
      </w:r>
      <w:r w:rsidR="00B613A1">
        <w:rPr>
          <w:rFonts w:asciiTheme="minorHAnsi" w:hAnsiTheme="minorHAnsi"/>
          <w:sz w:val="22"/>
          <w:szCs w:val="22"/>
          <w:lang w:val="en-GB"/>
        </w:rPr>
        <w:t>)</w:t>
      </w:r>
      <w:r w:rsidRPr="000A6B0A">
        <w:rPr>
          <w:rFonts w:asciiTheme="minorHAnsi" w:hAnsiTheme="minorHAnsi"/>
          <w:sz w:val="22"/>
          <w:szCs w:val="22"/>
          <w:lang w:val="en-GB"/>
        </w:rPr>
        <w:t xml:space="preserve"> of Directive 2012/34/EU).</w:t>
      </w:r>
    </w:p>
    <w:p w:rsidR="00716577" w:rsidRPr="000A6B0A" w:rsidRDefault="00716577" w:rsidP="00603222">
      <w:pPr>
        <w:spacing w:line="276" w:lineRule="auto"/>
        <w:jc w:val="both"/>
        <w:rPr>
          <w:rFonts w:asciiTheme="minorHAnsi" w:hAnsiTheme="minorHAnsi"/>
          <w:sz w:val="22"/>
          <w:szCs w:val="22"/>
          <w:lang w:val="en-GB"/>
        </w:rPr>
      </w:pPr>
    </w:p>
    <w:p w:rsidR="00603222" w:rsidRPr="000A6B0A" w:rsidRDefault="00603222"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There are several important differences in the approach used with regard to mark-ups and market segmentation. The latter are not applied in all countries and, when applied, they appear to differ across countries.</w:t>
      </w:r>
    </w:p>
    <w:p w:rsidR="00603222" w:rsidRPr="000A6B0A" w:rsidRDefault="00603222" w:rsidP="00603222">
      <w:pPr>
        <w:spacing w:line="276" w:lineRule="auto"/>
        <w:jc w:val="both"/>
        <w:rPr>
          <w:rFonts w:asciiTheme="minorHAnsi" w:hAnsiTheme="minorHAnsi"/>
          <w:sz w:val="22"/>
          <w:szCs w:val="22"/>
          <w:lang w:val="en-GB"/>
        </w:rPr>
      </w:pPr>
    </w:p>
    <w:p w:rsidR="000D2D45" w:rsidRDefault="00603222" w:rsidP="00603222">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French</w:t>
      </w:r>
      <w:r w:rsidR="00234B6A" w:rsidRPr="000A6B0A">
        <w:rPr>
          <w:rFonts w:asciiTheme="minorHAnsi" w:hAnsiTheme="minorHAnsi"/>
          <w:sz w:val="22"/>
          <w:szCs w:val="22"/>
          <w:lang w:val="en-GB"/>
        </w:rPr>
        <w:t>, Italian,</w:t>
      </w:r>
      <w:r w:rsidR="002013B5" w:rsidRPr="000A6B0A">
        <w:rPr>
          <w:rFonts w:asciiTheme="minorHAnsi" w:hAnsiTheme="minorHAnsi"/>
          <w:sz w:val="22"/>
          <w:szCs w:val="22"/>
          <w:lang w:val="en-GB"/>
        </w:rPr>
        <w:t xml:space="preserve"> </w:t>
      </w:r>
      <w:r w:rsidR="00A153EE" w:rsidRPr="000A6B0A">
        <w:rPr>
          <w:rFonts w:asciiTheme="minorHAnsi" w:hAnsiTheme="minorHAnsi"/>
          <w:sz w:val="22"/>
          <w:szCs w:val="22"/>
          <w:lang w:val="en-GB"/>
        </w:rPr>
        <w:t xml:space="preserve">German </w:t>
      </w:r>
      <w:r w:rsidRPr="000A6B0A">
        <w:rPr>
          <w:rFonts w:asciiTheme="minorHAnsi" w:hAnsiTheme="minorHAnsi"/>
          <w:sz w:val="22"/>
          <w:szCs w:val="22"/>
          <w:lang w:val="en-GB"/>
        </w:rPr>
        <w:t>and UK IMs for example consider market segments when calculating charges. In general, market segmentation differentiates passenger services from freight traffic. Some sub segments may complete the freight segmentation, as it does in the UK</w:t>
      </w:r>
      <w:r w:rsidR="00B613A1">
        <w:rPr>
          <w:rFonts w:asciiTheme="minorHAnsi" w:hAnsiTheme="minorHAnsi"/>
          <w:sz w:val="22"/>
          <w:szCs w:val="22"/>
          <w:lang w:val="en-GB"/>
        </w:rPr>
        <w:t>, in Italy</w:t>
      </w:r>
      <w:r w:rsidR="00A153EE" w:rsidRPr="000A6B0A">
        <w:rPr>
          <w:rFonts w:asciiTheme="minorHAnsi" w:hAnsiTheme="minorHAnsi"/>
          <w:sz w:val="22"/>
          <w:szCs w:val="22"/>
          <w:lang w:val="en-GB"/>
        </w:rPr>
        <w:t xml:space="preserve"> and in Germany</w:t>
      </w:r>
      <w:r w:rsidRPr="000A6B0A">
        <w:rPr>
          <w:rFonts w:asciiTheme="minorHAnsi" w:hAnsiTheme="minorHAnsi"/>
          <w:sz w:val="22"/>
          <w:szCs w:val="22"/>
          <w:lang w:val="en-GB"/>
        </w:rPr>
        <w:t>.</w:t>
      </w:r>
      <w:r w:rsidR="00234B6A" w:rsidRPr="000A6B0A">
        <w:rPr>
          <w:rFonts w:asciiTheme="minorHAnsi" w:hAnsiTheme="minorHAnsi"/>
          <w:sz w:val="22"/>
          <w:szCs w:val="22"/>
          <w:lang w:val="en-GB"/>
        </w:rPr>
        <w:t xml:space="preserve"> On the subject, a specific analysis is provided in the “Initial approach to market segment definition and criteria for an assessment of mark-ups in consideration of Directive 2012/34/EU” (IRG-Rail, 2016).</w:t>
      </w:r>
    </w:p>
    <w:p w:rsidR="00094DB6" w:rsidRDefault="00094DB6" w:rsidP="00603222">
      <w:pPr>
        <w:spacing w:line="276" w:lineRule="auto"/>
        <w:jc w:val="both"/>
        <w:rPr>
          <w:rFonts w:asciiTheme="minorHAnsi" w:hAnsiTheme="minorHAnsi"/>
          <w:sz w:val="22"/>
          <w:szCs w:val="22"/>
          <w:lang w:val="en-GB"/>
        </w:rPr>
      </w:pPr>
    </w:p>
    <w:p w:rsidR="00094DB6" w:rsidRPr="000A6B0A" w:rsidRDefault="00094DB6" w:rsidP="00603222">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In Portugal, the charging system does not rely on any definition of market segments. The IM did not define market segments. It has the costs aggregated in service categories. In the former </w:t>
      </w:r>
      <w:r>
        <w:rPr>
          <w:rFonts w:asciiTheme="minorHAnsi" w:hAnsiTheme="minorHAnsi"/>
          <w:sz w:val="22"/>
          <w:szCs w:val="22"/>
          <w:lang w:val="en-GB"/>
        </w:rPr>
        <w:lastRenderedPageBreak/>
        <w:t xml:space="preserve">Regulation IMTT 630/2011 there was a formula that converted services into segments. Nowadays the market segments IP is considering are: i) passenger trains; ii) freight trains; iii) Urban and sub-urban trains; iv) Regional and interregional; v) empty trains and vi) Intercity and International service. These market segments were determined a few years ago, in the Regulation IMTT 630/2011, issued by the former regulatory body under the previous legal framework. IP is reviewing its charging model to bring it in line with Regulation 2015/909. From this process will emerge new segments and mark-ups. </w:t>
      </w:r>
    </w:p>
    <w:p w:rsidR="00F66D0D" w:rsidRPr="000A6B0A" w:rsidRDefault="00F66D0D" w:rsidP="00603222">
      <w:pPr>
        <w:spacing w:line="276" w:lineRule="auto"/>
        <w:jc w:val="both"/>
        <w:rPr>
          <w:rFonts w:asciiTheme="minorHAnsi" w:hAnsiTheme="minorHAnsi"/>
          <w:sz w:val="22"/>
          <w:szCs w:val="22"/>
          <w:lang w:val="en-GB"/>
        </w:rPr>
      </w:pPr>
    </w:p>
    <w:p w:rsidR="000D2D45" w:rsidRPr="000A6B0A" w:rsidRDefault="000D2D45" w:rsidP="00E561FB">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 xml:space="preserve">Performance </w:t>
      </w:r>
      <w:r w:rsidR="00A202CC" w:rsidRPr="000A6B0A">
        <w:rPr>
          <w:rFonts w:asciiTheme="minorHAnsi" w:hAnsiTheme="minorHAnsi"/>
          <w:b/>
          <w:sz w:val="22"/>
          <w:szCs w:val="22"/>
          <w:lang w:val="en-GB"/>
        </w:rPr>
        <w:t>regime</w:t>
      </w:r>
    </w:p>
    <w:p w:rsidR="000D2D45" w:rsidRPr="00A56CA1" w:rsidRDefault="000D2D45" w:rsidP="000D2D45">
      <w:pPr>
        <w:spacing w:line="276" w:lineRule="auto"/>
        <w:jc w:val="both"/>
        <w:rPr>
          <w:rFonts w:asciiTheme="minorHAnsi" w:hAnsiTheme="minorHAnsi"/>
          <w:sz w:val="22"/>
          <w:szCs w:val="22"/>
          <w:lang w:val="en-GB"/>
        </w:rPr>
      </w:pPr>
    </w:p>
    <w:p w:rsidR="00B35F2F" w:rsidRDefault="00A202CC" w:rsidP="000D2D45">
      <w:pPr>
        <w:spacing w:line="276" w:lineRule="auto"/>
        <w:jc w:val="both"/>
        <w:rPr>
          <w:rFonts w:asciiTheme="minorHAnsi" w:hAnsiTheme="minorHAnsi"/>
          <w:sz w:val="22"/>
          <w:szCs w:val="22"/>
          <w:lang w:val="en-GB"/>
        </w:rPr>
      </w:pPr>
      <w:r w:rsidRPr="00920176">
        <w:rPr>
          <w:rFonts w:asciiTheme="minorHAnsi" w:hAnsiTheme="minorHAnsi"/>
          <w:sz w:val="22"/>
          <w:szCs w:val="22"/>
          <w:lang w:val="en-GB"/>
        </w:rPr>
        <w:t>Almost a</w:t>
      </w:r>
      <w:r w:rsidR="000D2D45" w:rsidRPr="00920176">
        <w:rPr>
          <w:rFonts w:asciiTheme="minorHAnsi" w:hAnsiTheme="minorHAnsi"/>
          <w:sz w:val="22"/>
          <w:szCs w:val="22"/>
          <w:lang w:val="en-GB"/>
        </w:rPr>
        <w:t>ll me</w:t>
      </w:r>
      <w:r w:rsidRPr="00920176">
        <w:rPr>
          <w:rFonts w:asciiTheme="minorHAnsi" w:hAnsiTheme="minorHAnsi"/>
          <w:sz w:val="22"/>
          <w:szCs w:val="22"/>
          <w:lang w:val="en-GB"/>
        </w:rPr>
        <w:t>mber</w:t>
      </w:r>
      <w:r w:rsidR="009C7C22" w:rsidRPr="00920176">
        <w:rPr>
          <w:rFonts w:asciiTheme="minorHAnsi" w:hAnsiTheme="minorHAnsi"/>
          <w:sz w:val="22"/>
          <w:szCs w:val="22"/>
          <w:lang w:val="en-GB"/>
        </w:rPr>
        <w:t>s</w:t>
      </w:r>
      <w:r w:rsidRPr="00B35F2F">
        <w:rPr>
          <w:rFonts w:asciiTheme="minorHAnsi" w:hAnsiTheme="minorHAnsi"/>
          <w:sz w:val="22"/>
          <w:szCs w:val="22"/>
          <w:lang w:val="en-GB"/>
        </w:rPr>
        <w:t xml:space="preserve"> of the IRG-Rail</w:t>
      </w:r>
      <w:r w:rsidR="000D2D45" w:rsidRPr="00C23A55">
        <w:rPr>
          <w:rFonts w:asciiTheme="minorHAnsi" w:hAnsiTheme="minorHAnsi"/>
          <w:sz w:val="22"/>
          <w:szCs w:val="22"/>
          <w:lang w:val="en-GB"/>
        </w:rPr>
        <w:t xml:space="preserve"> have</w:t>
      </w:r>
      <w:r w:rsidR="00716577" w:rsidRPr="00C23A55">
        <w:rPr>
          <w:rFonts w:asciiTheme="minorHAnsi" w:hAnsiTheme="minorHAnsi"/>
          <w:sz w:val="22"/>
          <w:szCs w:val="22"/>
          <w:lang w:val="en-GB"/>
        </w:rPr>
        <w:t xml:space="preserve"> a performance regime included in their </w:t>
      </w:r>
      <w:r w:rsidR="000D2D45" w:rsidRPr="00C23A55">
        <w:rPr>
          <w:rFonts w:asciiTheme="minorHAnsi" w:hAnsiTheme="minorHAnsi"/>
          <w:sz w:val="22"/>
          <w:szCs w:val="22"/>
          <w:lang w:val="en-GB"/>
        </w:rPr>
        <w:t xml:space="preserve">national legal framework. In Denmark there is a performance regime on the payment for the use of the </w:t>
      </w:r>
      <w:r w:rsidR="00B613A1">
        <w:rPr>
          <w:rFonts w:asciiTheme="minorHAnsi" w:hAnsiTheme="minorHAnsi"/>
          <w:sz w:val="22"/>
          <w:szCs w:val="22"/>
          <w:lang w:val="en-GB"/>
        </w:rPr>
        <w:t>S</w:t>
      </w:r>
      <w:r w:rsidR="000D2D45" w:rsidRPr="00C23A55">
        <w:rPr>
          <w:rFonts w:asciiTheme="minorHAnsi" w:hAnsiTheme="minorHAnsi"/>
          <w:sz w:val="22"/>
          <w:szCs w:val="22"/>
          <w:lang w:val="en-GB"/>
        </w:rPr>
        <w:t>tate owned rail network and on the environmental subsidy to freight transport. In the Netherlands</w:t>
      </w:r>
      <w:r w:rsidR="00FF7B6C">
        <w:rPr>
          <w:rFonts w:asciiTheme="minorHAnsi" w:hAnsiTheme="minorHAnsi"/>
          <w:sz w:val="22"/>
          <w:szCs w:val="22"/>
          <w:lang w:val="en-GB"/>
        </w:rPr>
        <w:t xml:space="preserve"> and Romania</w:t>
      </w:r>
      <w:r w:rsidR="000D2D45" w:rsidRPr="00C23A55">
        <w:rPr>
          <w:rFonts w:asciiTheme="minorHAnsi" w:hAnsiTheme="minorHAnsi"/>
          <w:sz w:val="22"/>
          <w:szCs w:val="22"/>
          <w:lang w:val="en-GB"/>
        </w:rPr>
        <w:t xml:space="preserve">, there is a performance regime </w:t>
      </w:r>
      <w:r w:rsidR="000D2D45" w:rsidRPr="000A6B0A">
        <w:rPr>
          <w:rFonts w:asciiTheme="minorHAnsi" w:hAnsiTheme="minorHAnsi"/>
          <w:sz w:val="22"/>
          <w:szCs w:val="22"/>
          <w:lang w:val="en-GB"/>
        </w:rPr>
        <w:t>included in the Network Statement and it is agreed with railway undertakings in their access agreements. A performance regime c</w:t>
      </w:r>
      <w:r w:rsidR="00716577" w:rsidRPr="000A6B0A">
        <w:rPr>
          <w:rFonts w:asciiTheme="minorHAnsi" w:hAnsiTheme="minorHAnsi"/>
          <w:sz w:val="22"/>
          <w:szCs w:val="22"/>
          <w:lang w:val="en-GB"/>
        </w:rPr>
        <w:t xml:space="preserve">an </w:t>
      </w:r>
      <w:r w:rsidR="000D2D45" w:rsidRPr="000A6B0A">
        <w:rPr>
          <w:rFonts w:asciiTheme="minorHAnsi" w:hAnsiTheme="minorHAnsi"/>
          <w:sz w:val="22"/>
          <w:szCs w:val="22"/>
          <w:lang w:val="en-GB"/>
        </w:rPr>
        <w:t xml:space="preserve">also be tailored to fit for a particular railway undertaking. </w:t>
      </w:r>
      <w:r w:rsidR="00094DB6">
        <w:rPr>
          <w:rFonts w:asciiTheme="minorHAnsi" w:hAnsiTheme="minorHAnsi"/>
          <w:sz w:val="22"/>
          <w:szCs w:val="22"/>
          <w:lang w:val="en-GB"/>
        </w:rPr>
        <w:t>The Portuguese legal framework also considers a performance regime - article 35 of Decree-law 217/2015 which transposed article 35 of the Directive 2012/34/EU. However, the performance regime currently in use in Portugal has been implemented before the entry into force of the Decree-law 217/2015. A new performance regime is currently being developed by the IM to meet the requirements established in Decree-law 217/2015. The new performance scheme is expected to be approved in 2017 and to be implemented next year.</w:t>
      </w:r>
    </w:p>
    <w:p w:rsidR="00B35F2F" w:rsidRPr="00A56CA1" w:rsidRDefault="00B35F2F" w:rsidP="000D2D45">
      <w:pPr>
        <w:spacing w:line="276" w:lineRule="auto"/>
        <w:jc w:val="both"/>
        <w:rPr>
          <w:rFonts w:asciiTheme="minorHAnsi" w:hAnsiTheme="minorHAnsi"/>
          <w:sz w:val="22"/>
          <w:szCs w:val="22"/>
          <w:lang w:val="en-GB"/>
        </w:rPr>
      </w:pPr>
    </w:p>
    <w:p w:rsidR="007832C8" w:rsidRPr="00920176" w:rsidRDefault="007832C8" w:rsidP="00767DA1">
      <w:pPr>
        <w:pStyle w:val="Paragraphedeliste"/>
        <w:numPr>
          <w:ilvl w:val="1"/>
          <w:numId w:val="2"/>
        </w:numPr>
        <w:spacing w:line="276" w:lineRule="auto"/>
        <w:jc w:val="both"/>
        <w:rPr>
          <w:rFonts w:asciiTheme="minorHAnsi" w:hAnsiTheme="minorHAnsi"/>
          <w:b/>
          <w:sz w:val="22"/>
          <w:szCs w:val="22"/>
          <w:lang w:val="en-GB"/>
        </w:rPr>
      </w:pPr>
      <w:r w:rsidRPr="00920176">
        <w:rPr>
          <w:rFonts w:asciiTheme="minorHAnsi" w:hAnsiTheme="minorHAnsi"/>
          <w:b/>
          <w:sz w:val="22"/>
          <w:szCs w:val="22"/>
          <w:lang w:val="en-GB"/>
        </w:rPr>
        <w:t>Traffic forecasts</w:t>
      </w:r>
    </w:p>
    <w:p w:rsidR="007832C8" w:rsidRPr="00920176" w:rsidRDefault="007832C8" w:rsidP="007832C8">
      <w:pPr>
        <w:spacing w:line="276" w:lineRule="auto"/>
        <w:jc w:val="both"/>
        <w:rPr>
          <w:rFonts w:asciiTheme="minorHAnsi" w:hAnsiTheme="minorHAnsi"/>
          <w:sz w:val="22"/>
          <w:szCs w:val="22"/>
          <w:lang w:val="en-GB"/>
        </w:rPr>
      </w:pPr>
    </w:p>
    <w:p w:rsidR="007832C8" w:rsidRPr="00C23A55" w:rsidRDefault="007832C8" w:rsidP="007832C8">
      <w:pPr>
        <w:spacing w:line="276" w:lineRule="auto"/>
        <w:jc w:val="both"/>
        <w:rPr>
          <w:rFonts w:asciiTheme="minorHAnsi" w:hAnsiTheme="minorHAnsi"/>
          <w:sz w:val="22"/>
          <w:szCs w:val="22"/>
          <w:lang w:val="en-GB"/>
        </w:rPr>
      </w:pPr>
      <w:r w:rsidRPr="00B35F2F">
        <w:rPr>
          <w:rFonts w:asciiTheme="minorHAnsi" w:hAnsiTheme="minorHAnsi"/>
          <w:sz w:val="22"/>
          <w:szCs w:val="22"/>
          <w:lang w:val="en-GB"/>
        </w:rPr>
        <w:t xml:space="preserve">Only </w:t>
      </w:r>
      <w:r w:rsidR="00234B6A" w:rsidRPr="00C23A55">
        <w:rPr>
          <w:rFonts w:asciiTheme="minorHAnsi" w:hAnsiTheme="minorHAnsi"/>
          <w:sz w:val="22"/>
          <w:szCs w:val="22"/>
          <w:lang w:val="en-GB"/>
        </w:rPr>
        <w:t xml:space="preserve">five </w:t>
      </w:r>
      <w:r w:rsidRPr="00C23A55">
        <w:rPr>
          <w:rFonts w:asciiTheme="minorHAnsi" w:hAnsiTheme="minorHAnsi"/>
          <w:sz w:val="22"/>
          <w:szCs w:val="22"/>
          <w:lang w:val="en-GB"/>
        </w:rPr>
        <w:t xml:space="preserve">regulators challenge the traffic forecasts made by the IM as part of the examination of charges. In the Netherlands, the charges are corrected by the IM </w:t>
      </w:r>
      <w:r w:rsidRPr="000A6B0A">
        <w:rPr>
          <w:rFonts w:asciiTheme="minorHAnsi" w:hAnsiTheme="minorHAnsi"/>
          <w:i/>
          <w:sz w:val="22"/>
          <w:szCs w:val="22"/>
          <w:lang w:val="en-GB"/>
        </w:rPr>
        <w:t>ex ante</w:t>
      </w:r>
      <w:r w:rsidRPr="000A6B0A">
        <w:rPr>
          <w:rFonts w:asciiTheme="minorHAnsi" w:hAnsiTheme="minorHAnsi"/>
          <w:sz w:val="22"/>
          <w:szCs w:val="22"/>
          <w:lang w:val="en-GB"/>
        </w:rPr>
        <w:t xml:space="preserve"> on the basis of capacity applied for and extrapolations of volumes in previous years. In Germany traffic forecasts are also challenged during the </w:t>
      </w:r>
      <w:r w:rsidRPr="000A6B0A">
        <w:rPr>
          <w:rFonts w:asciiTheme="minorHAnsi" w:hAnsiTheme="minorHAnsi"/>
          <w:i/>
          <w:sz w:val="22"/>
          <w:szCs w:val="22"/>
          <w:lang w:val="en-GB"/>
        </w:rPr>
        <w:t>ex ante</w:t>
      </w:r>
      <w:r w:rsidRPr="000A6B0A">
        <w:rPr>
          <w:rFonts w:asciiTheme="minorHAnsi" w:hAnsiTheme="minorHAnsi"/>
          <w:sz w:val="22"/>
          <w:szCs w:val="22"/>
          <w:lang w:val="en-GB"/>
        </w:rPr>
        <w:t xml:space="preserve"> examination of charges. The forecast of passenger train km is based on an extrapolation of current train km </w:t>
      </w:r>
      <w:r w:rsidR="002A2503">
        <w:rPr>
          <w:rFonts w:asciiTheme="minorHAnsi" w:hAnsiTheme="minorHAnsi"/>
          <w:sz w:val="22"/>
          <w:szCs w:val="22"/>
          <w:lang w:val="en-GB"/>
        </w:rPr>
        <w:t>considering</w:t>
      </w:r>
      <w:r w:rsidRPr="000A6B0A">
        <w:rPr>
          <w:rFonts w:asciiTheme="minorHAnsi" w:hAnsiTheme="minorHAnsi"/>
          <w:sz w:val="22"/>
          <w:szCs w:val="22"/>
          <w:lang w:val="en-GB"/>
        </w:rPr>
        <w:t xml:space="preserve"> additional or </w:t>
      </w:r>
      <w:r w:rsidR="002A2503">
        <w:rPr>
          <w:rFonts w:asciiTheme="minorHAnsi" w:hAnsiTheme="minorHAnsi"/>
          <w:sz w:val="22"/>
          <w:szCs w:val="22"/>
          <w:lang w:val="en-GB"/>
        </w:rPr>
        <w:t>reduced</w:t>
      </w:r>
      <w:r w:rsidR="002A2503"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service requirements or changes in train km due to construction </w:t>
      </w:r>
      <w:r w:rsidR="009F3BE7">
        <w:rPr>
          <w:rFonts w:asciiTheme="minorHAnsi" w:hAnsiTheme="minorHAnsi"/>
          <w:sz w:val="22"/>
          <w:szCs w:val="22"/>
          <w:lang w:val="en-GB"/>
        </w:rPr>
        <w:t>works</w:t>
      </w:r>
      <w:r w:rsidRPr="000A6B0A">
        <w:rPr>
          <w:rFonts w:asciiTheme="minorHAnsi" w:hAnsiTheme="minorHAnsi"/>
          <w:sz w:val="22"/>
          <w:szCs w:val="22"/>
          <w:lang w:val="en-GB"/>
        </w:rPr>
        <w:t xml:space="preserve">. Freight train km are projected with the help of </w:t>
      </w:r>
      <w:r w:rsidR="00C06B01" w:rsidRPr="000A6B0A">
        <w:rPr>
          <w:rFonts w:asciiTheme="minorHAnsi" w:hAnsiTheme="minorHAnsi"/>
          <w:sz w:val="22"/>
          <w:szCs w:val="22"/>
          <w:lang w:val="en-GB"/>
        </w:rPr>
        <w:t>an internal analysis on the basis of general economic figures</w:t>
      </w:r>
      <w:r w:rsidRPr="000A6B0A">
        <w:rPr>
          <w:rFonts w:asciiTheme="minorHAnsi" w:hAnsiTheme="minorHAnsi"/>
          <w:sz w:val="22"/>
          <w:szCs w:val="22"/>
          <w:lang w:val="en-GB"/>
        </w:rPr>
        <w:t xml:space="preserve">. In Poland, the regulatory body examines the forecast for operational work of the IM for each category of lines and weight. In case of a significant difference with the charge of the last timetable, the regulatory body asks the IM to provide a justification. </w:t>
      </w:r>
      <w:r w:rsidR="00234B6A" w:rsidRPr="000A6B0A">
        <w:rPr>
          <w:rFonts w:asciiTheme="minorHAnsi" w:hAnsiTheme="minorHAnsi"/>
          <w:sz w:val="22"/>
          <w:szCs w:val="22"/>
          <w:lang w:val="en-GB"/>
        </w:rPr>
        <w:t xml:space="preserve">In Italy, traffic forecasts over the regulatory period (5 years) are estimated by the IM on the basis of a consultation of the railway undertakings and their consistency is evaluated by the Regulatory </w:t>
      </w:r>
      <w:r w:rsidR="00234B6A" w:rsidRPr="00A56CA1">
        <w:rPr>
          <w:rFonts w:asciiTheme="minorHAnsi" w:hAnsiTheme="minorHAnsi"/>
          <w:sz w:val="22"/>
          <w:szCs w:val="22"/>
          <w:lang w:val="en-GB"/>
        </w:rPr>
        <w:t>body.</w:t>
      </w:r>
      <w:r w:rsidR="009F3BE7">
        <w:rPr>
          <w:rFonts w:asciiTheme="minorHAnsi" w:hAnsiTheme="minorHAnsi"/>
          <w:sz w:val="22"/>
          <w:szCs w:val="22"/>
          <w:lang w:val="en-GB"/>
        </w:rPr>
        <w:t xml:space="preserve"> </w:t>
      </w:r>
      <w:r w:rsidRPr="00920176">
        <w:rPr>
          <w:rFonts w:asciiTheme="minorHAnsi" w:hAnsiTheme="minorHAnsi"/>
          <w:sz w:val="22"/>
          <w:szCs w:val="22"/>
          <w:lang w:val="en-GB"/>
        </w:rPr>
        <w:t xml:space="preserve">In the UK, the majority of charges are not that sensitive to demand forecasts, because they are calculated per unit of traffic. However, when traffic forecasts do affect the level of charges, they </w:t>
      </w:r>
      <w:r w:rsidRPr="00B35F2F">
        <w:rPr>
          <w:rFonts w:asciiTheme="minorHAnsi" w:hAnsiTheme="minorHAnsi"/>
          <w:sz w:val="22"/>
          <w:szCs w:val="22"/>
          <w:lang w:val="en-GB"/>
        </w:rPr>
        <w:t xml:space="preserve">are challenged </w:t>
      </w:r>
      <w:r w:rsidRPr="00C23A55">
        <w:rPr>
          <w:rFonts w:asciiTheme="minorHAnsi" w:hAnsiTheme="minorHAnsi"/>
          <w:i/>
          <w:sz w:val="22"/>
          <w:szCs w:val="22"/>
          <w:lang w:val="en-GB"/>
        </w:rPr>
        <w:t>ex ante</w:t>
      </w:r>
      <w:r w:rsidRPr="00C23A55">
        <w:rPr>
          <w:rFonts w:asciiTheme="minorHAnsi" w:hAnsiTheme="minorHAnsi"/>
          <w:sz w:val="22"/>
          <w:szCs w:val="22"/>
          <w:lang w:val="en-GB"/>
        </w:rPr>
        <w:t>.</w:t>
      </w:r>
    </w:p>
    <w:p w:rsidR="000D2D45" w:rsidRPr="000A6B0A" w:rsidRDefault="000D2D45" w:rsidP="000D2D45">
      <w:pPr>
        <w:spacing w:line="276" w:lineRule="auto"/>
        <w:jc w:val="both"/>
        <w:rPr>
          <w:rFonts w:asciiTheme="minorHAnsi" w:hAnsiTheme="minorHAnsi"/>
          <w:sz w:val="22"/>
          <w:szCs w:val="22"/>
          <w:lang w:val="en-GB"/>
        </w:rPr>
      </w:pPr>
    </w:p>
    <w:p w:rsidR="000D2D45" w:rsidRPr="000A6B0A" w:rsidRDefault="000D2D45" w:rsidP="00767DA1">
      <w:pPr>
        <w:pStyle w:val="Paragraphedeliste"/>
        <w:numPr>
          <w:ilvl w:val="1"/>
          <w:numId w:val="2"/>
        </w:numPr>
        <w:spacing w:line="276" w:lineRule="auto"/>
        <w:jc w:val="both"/>
        <w:rPr>
          <w:rFonts w:asciiTheme="minorHAnsi" w:hAnsiTheme="minorHAnsi"/>
          <w:b/>
          <w:sz w:val="22"/>
          <w:szCs w:val="22"/>
          <w:lang w:val="en-GB"/>
        </w:rPr>
      </w:pPr>
      <w:r w:rsidRPr="000A6B0A">
        <w:rPr>
          <w:rFonts w:asciiTheme="minorHAnsi" w:hAnsiTheme="minorHAnsi"/>
          <w:b/>
          <w:sz w:val="22"/>
          <w:szCs w:val="22"/>
          <w:lang w:val="en-GB"/>
        </w:rPr>
        <w:t>Complaints</w:t>
      </w:r>
    </w:p>
    <w:p w:rsidR="000D2D45" w:rsidRPr="00A56CA1" w:rsidRDefault="000D2D45" w:rsidP="000D2D45">
      <w:pPr>
        <w:spacing w:line="276" w:lineRule="auto"/>
        <w:jc w:val="both"/>
        <w:rPr>
          <w:rFonts w:asciiTheme="minorHAnsi" w:hAnsiTheme="minorHAnsi"/>
          <w:sz w:val="22"/>
          <w:szCs w:val="22"/>
          <w:lang w:val="en-GB"/>
        </w:rPr>
      </w:pPr>
    </w:p>
    <w:p w:rsidR="00094DB6" w:rsidRDefault="009F3BE7" w:rsidP="00094DB6">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Some regulatory bodies declared having received complaints on charging issues. Some of them, as Croatia, Denmark and the Netherlands have received a reduced number of complaints (one for </w:t>
      </w:r>
      <w:r>
        <w:rPr>
          <w:rFonts w:asciiTheme="minorHAnsi" w:hAnsiTheme="minorHAnsi"/>
          <w:sz w:val="22"/>
          <w:szCs w:val="22"/>
          <w:lang w:val="en-GB"/>
        </w:rPr>
        <w:lastRenderedPageBreak/>
        <w:t>the case of Croatia, two and a court case for the case of Denmark and three for the Netherlands). In Denmark, the first complaint concerns the charging principles applying to a previous ton-kilometre charge for freight trains (case JN34-00006). The second one, from the same freight operator, lies in the continuity of the first one: this complaint (case JN34-00018) focuses on the calculation of the level of charges resulting from the decision of the Danish regulatory body in case JN34-00006. The Danish rail regulatory body was also summoned by the Court in a court case submitted by a freight operator against Rail Net Denmark as a consequence of JN34-00018.  In the Netherlands, one complaint was related to the costs included in the minimum usage charge proposal for 2010, which included some fixed costs. Other countries such as Poland and Germany receive complaints on a more regular basis. For example, the Polish regulatory body states that the most common complaints are from rail carriers regarding the method and accuracy of the IM’s calculation of charges for basic service for the minimum access to the infrastructure. The German regulatory body has received complaints on diverse topics, such as the level of charges, price discrimination, performance regimes, billing</w:t>
      </w:r>
      <w:r w:rsidR="002A2503">
        <w:rPr>
          <w:rFonts w:asciiTheme="minorHAnsi" w:hAnsiTheme="minorHAnsi"/>
          <w:sz w:val="22"/>
          <w:szCs w:val="22"/>
          <w:lang w:val="en-GB"/>
        </w:rPr>
        <w:t xml:space="preserve"> errors and network statements.</w:t>
      </w:r>
      <w:r w:rsidR="00094DB6">
        <w:rPr>
          <w:rFonts w:asciiTheme="minorHAnsi" w:hAnsiTheme="minorHAnsi"/>
          <w:sz w:val="22"/>
          <w:szCs w:val="22"/>
          <w:lang w:val="en-GB"/>
        </w:rPr>
        <w:t xml:space="preserve"> The Portuguese rail Regulatory Body received six complaints on charging issues. Complaints are based on various grounds, including for instance the alleged illegality of Regulation IMTT 630/2011 (concerning the method for calculating railway infrastructure charges) due to procedural reasons relating to its adoption, lack of reasoning, incorrect methodology and other alleged irregularities. The four decisions already taken on complaints mentioned above were taken in February 2017 and are available in AMT’s website</w:t>
      </w:r>
      <w:r w:rsidR="00094DB6">
        <w:rPr>
          <w:rStyle w:val="Appelnotedebasdep"/>
          <w:rFonts w:asciiTheme="minorHAnsi" w:hAnsiTheme="minorHAnsi"/>
          <w:sz w:val="22"/>
          <w:szCs w:val="22"/>
          <w:lang w:val="en-GB"/>
        </w:rPr>
        <w:footnoteReference w:id="83"/>
      </w:r>
      <w:r w:rsidR="00094DB6">
        <w:rPr>
          <w:rFonts w:asciiTheme="minorHAnsi" w:hAnsiTheme="minorHAnsi"/>
          <w:sz w:val="22"/>
          <w:szCs w:val="22"/>
          <w:lang w:val="en-GB"/>
        </w:rPr>
        <w:t>.</w:t>
      </w:r>
    </w:p>
    <w:p w:rsidR="00490DD2" w:rsidRDefault="00490DD2" w:rsidP="00094DB6">
      <w:pPr>
        <w:spacing w:line="276" w:lineRule="auto"/>
        <w:jc w:val="both"/>
        <w:rPr>
          <w:rFonts w:asciiTheme="minorHAnsi" w:hAnsiTheme="minorHAnsi"/>
          <w:sz w:val="22"/>
          <w:szCs w:val="22"/>
          <w:lang w:val="en-GB"/>
        </w:rPr>
      </w:pPr>
    </w:p>
    <w:p w:rsidR="00CF14FF" w:rsidRPr="000A6B0A" w:rsidRDefault="00FF7B6C" w:rsidP="00E018A6">
      <w:pPr>
        <w:spacing w:line="276" w:lineRule="auto"/>
        <w:jc w:val="both"/>
        <w:rPr>
          <w:rFonts w:asciiTheme="minorHAnsi" w:hAnsiTheme="minorHAnsi"/>
          <w:sz w:val="22"/>
          <w:szCs w:val="22"/>
          <w:lang w:val="en-GB"/>
        </w:rPr>
      </w:pPr>
      <w:r>
        <w:rPr>
          <w:rFonts w:asciiTheme="minorHAnsi" w:hAnsiTheme="minorHAnsi"/>
          <w:sz w:val="22"/>
          <w:szCs w:val="22"/>
          <w:lang w:val="en-GB"/>
        </w:rPr>
        <w:t>The Romanian regulatory body has received complaints on price discrimination, level of price and calculation methodology for services provided by the IM.</w:t>
      </w:r>
    </w:p>
    <w:p w:rsidR="00CF14FF" w:rsidRPr="000A6B0A" w:rsidRDefault="00CF14FF" w:rsidP="00CF14FF">
      <w:pPr>
        <w:spacing w:line="276" w:lineRule="auto"/>
        <w:jc w:val="both"/>
        <w:rPr>
          <w:rFonts w:asciiTheme="minorHAnsi" w:hAnsiTheme="minorHAnsi"/>
          <w:sz w:val="22"/>
          <w:szCs w:val="22"/>
          <w:lang w:val="en-GB"/>
        </w:rPr>
      </w:pPr>
    </w:p>
    <w:p w:rsidR="000D2D45" w:rsidRPr="000A6B0A" w:rsidRDefault="000D2D45" w:rsidP="00B52093">
      <w:pPr>
        <w:rPr>
          <w:rFonts w:asciiTheme="minorHAnsi" w:hAnsiTheme="minorHAnsi"/>
          <w:sz w:val="22"/>
          <w:szCs w:val="22"/>
          <w:lang w:val="en-GB"/>
        </w:rPr>
      </w:pPr>
    </w:p>
    <w:p w:rsidR="00F76292" w:rsidRPr="000A6B0A" w:rsidRDefault="00BE5533" w:rsidP="00E561FB">
      <w:pPr>
        <w:pStyle w:val="Titre1"/>
        <w:numPr>
          <w:ilvl w:val="0"/>
          <w:numId w:val="13"/>
        </w:numPr>
        <w:spacing w:line="276" w:lineRule="auto"/>
        <w:jc w:val="both"/>
        <w:rPr>
          <w:rFonts w:asciiTheme="minorHAnsi" w:hAnsiTheme="minorHAnsi"/>
          <w:i/>
          <w:sz w:val="28"/>
          <w:szCs w:val="22"/>
          <w:lang w:val="en-GB"/>
        </w:rPr>
      </w:pPr>
      <w:bookmarkStart w:id="14" w:name="_Toc335396833"/>
      <w:bookmarkStart w:id="15" w:name="_Toc335396836"/>
      <w:bookmarkStart w:id="16" w:name="_Toc335396837"/>
      <w:bookmarkStart w:id="17" w:name="_Toc335396839"/>
      <w:bookmarkStart w:id="18" w:name="_Toc335396840"/>
      <w:bookmarkStart w:id="19" w:name="_Toc335396841"/>
      <w:bookmarkStart w:id="20" w:name="_Toc335396842"/>
      <w:bookmarkStart w:id="21" w:name="_Toc335396845"/>
      <w:bookmarkStart w:id="22" w:name="_Toc335396848"/>
      <w:bookmarkStart w:id="23" w:name="_Toc335396894"/>
      <w:bookmarkStart w:id="24" w:name="_Toc335396979"/>
      <w:bookmarkStart w:id="25" w:name="_Toc335396980"/>
      <w:bookmarkStart w:id="26" w:name="_Toc335396985"/>
      <w:bookmarkStart w:id="27" w:name="_Toc335396986"/>
      <w:bookmarkStart w:id="28" w:name="_Toc335396988"/>
      <w:bookmarkStart w:id="29" w:name="_Toc335396990"/>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A6B0A">
        <w:rPr>
          <w:rFonts w:asciiTheme="minorHAnsi" w:hAnsiTheme="minorHAnsi" w:cs="Calibri"/>
          <w:sz w:val="24"/>
          <w:szCs w:val="24"/>
          <w:lang w:val="en-GB"/>
        </w:rPr>
        <w:br w:type="page"/>
      </w:r>
      <w:bookmarkStart w:id="30" w:name="_Ref335396060"/>
      <w:bookmarkStart w:id="31" w:name="_Toc461625124"/>
      <w:bookmarkStart w:id="32" w:name="_Toc461625226"/>
      <w:bookmarkStart w:id="33" w:name="_Toc496279017"/>
      <w:r w:rsidR="001E3837" w:rsidRPr="000A6B0A">
        <w:rPr>
          <w:rFonts w:asciiTheme="minorHAnsi" w:hAnsiTheme="minorHAnsi"/>
          <w:i/>
          <w:sz w:val="28"/>
          <w:szCs w:val="22"/>
          <w:lang w:val="en-GB"/>
        </w:rPr>
        <w:lastRenderedPageBreak/>
        <w:t xml:space="preserve">Annex: Summary of charging systems by IRG-Rail </w:t>
      </w:r>
      <w:bookmarkEnd w:id="30"/>
      <w:r w:rsidR="001E3837" w:rsidRPr="000A6B0A">
        <w:rPr>
          <w:rFonts w:asciiTheme="minorHAnsi" w:hAnsiTheme="minorHAnsi"/>
          <w:i/>
          <w:sz w:val="28"/>
          <w:szCs w:val="22"/>
          <w:lang w:val="en-GB"/>
        </w:rPr>
        <w:t>member</w:t>
      </w:r>
      <w:r w:rsidR="00724C26" w:rsidRPr="000A6B0A">
        <w:rPr>
          <w:rFonts w:asciiTheme="minorHAnsi" w:hAnsiTheme="minorHAnsi"/>
          <w:i/>
          <w:sz w:val="28"/>
          <w:szCs w:val="22"/>
          <w:lang w:val="en-GB"/>
        </w:rPr>
        <w:t>s</w:t>
      </w:r>
      <w:bookmarkEnd w:id="31"/>
      <w:bookmarkEnd w:id="32"/>
      <w:bookmarkEnd w:id="33"/>
    </w:p>
    <w:p w:rsidR="001E3837" w:rsidRPr="000A6B0A" w:rsidRDefault="001E3837" w:rsidP="00E561FB">
      <w:pPr>
        <w:pStyle w:val="Titre1"/>
        <w:numPr>
          <w:ilvl w:val="1"/>
          <w:numId w:val="13"/>
        </w:numPr>
        <w:spacing w:line="276" w:lineRule="auto"/>
        <w:jc w:val="both"/>
        <w:rPr>
          <w:rFonts w:asciiTheme="minorHAnsi" w:hAnsiTheme="minorHAnsi"/>
          <w:i/>
          <w:sz w:val="28"/>
          <w:szCs w:val="22"/>
          <w:lang w:val="en-GB"/>
        </w:rPr>
      </w:pPr>
      <w:bookmarkStart w:id="34" w:name="_Toc461625125"/>
      <w:bookmarkStart w:id="35" w:name="_Toc461625227"/>
      <w:bookmarkStart w:id="36" w:name="_Toc496279018"/>
      <w:r w:rsidRPr="000A6B0A">
        <w:rPr>
          <w:rFonts w:asciiTheme="minorHAnsi" w:hAnsiTheme="minorHAnsi"/>
          <w:sz w:val="22"/>
          <w:szCs w:val="22"/>
          <w:lang w:val="en-GB"/>
        </w:rPr>
        <w:t>Austria</w:t>
      </w:r>
      <w:bookmarkEnd w:id="34"/>
      <w:bookmarkEnd w:id="35"/>
      <w:bookmarkEnd w:id="36"/>
    </w:p>
    <w:p w:rsidR="001E3837" w:rsidRPr="000A6B0A" w:rsidRDefault="001E3837" w:rsidP="0004580B">
      <w:pPr>
        <w:jc w:val="both"/>
        <w:rPr>
          <w:rFonts w:asciiTheme="minorHAnsi" w:hAnsiTheme="minorHAnsi"/>
          <w:sz w:val="22"/>
          <w:szCs w:val="22"/>
          <w:lang w:val="en-GB"/>
        </w:rPr>
      </w:pPr>
    </w:p>
    <w:p w:rsidR="00E27140" w:rsidRPr="000A6B0A" w:rsidRDefault="001E38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Austria there are two charges for the minimum access package</w:t>
      </w:r>
      <w:r w:rsidR="00094DB6" w:rsidRPr="00094DB6">
        <w:rPr>
          <w:rFonts w:asciiTheme="minorHAnsi" w:hAnsiTheme="minorHAnsi"/>
          <w:sz w:val="22"/>
          <w:szCs w:val="22"/>
          <w:lang w:val="en-GB"/>
        </w:rPr>
        <w:t xml:space="preserve"> </w:t>
      </w:r>
      <w:r w:rsidR="00094DB6">
        <w:rPr>
          <w:rFonts w:asciiTheme="minorHAnsi" w:hAnsiTheme="minorHAnsi"/>
          <w:sz w:val="22"/>
          <w:szCs w:val="22"/>
          <w:lang w:val="en-GB"/>
        </w:rPr>
        <w:t>in 2017</w:t>
      </w:r>
      <w:r w:rsidRPr="000A6B0A">
        <w:rPr>
          <w:rFonts w:asciiTheme="minorHAnsi" w:hAnsiTheme="minorHAnsi"/>
          <w:sz w:val="22"/>
          <w:szCs w:val="22"/>
          <w:lang w:val="en-GB"/>
        </w:rPr>
        <w:t>:</w:t>
      </w:r>
      <w:r w:rsidR="00E27140" w:rsidRPr="000A6B0A">
        <w:rPr>
          <w:rFonts w:asciiTheme="minorHAnsi" w:hAnsiTheme="minorHAnsi"/>
          <w:sz w:val="22"/>
          <w:szCs w:val="22"/>
          <w:lang w:val="en-GB"/>
        </w:rPr>
        <w:t xml:space="preserve"> </w:t>
      </w:r>
    </w:p>
    <w:p w:rsidR="00E27140" w:rsidRPr="000A6B0A" w:rsidRDefault="00E27140" w:rsidP="0086605D">
      <w:pPr>
        <w:pStyle w:val="Paragraphedeliste"/>
        <w:numPr>
          <w:ilvl w:val="0"/>
          <w:numId w:val="1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w:t>
      </w:r>
      <w:r w:rsidR="001E3837" w:rsidRPr="000A6B0A">
        <w:rPr>
          <w:rFonts w:asciiTheme="minorHAnsi" w:hAnsiTheme="minorHAnsi"/>
          <w:sz w:val="22"/>
          <w:szCs w:val="22"/>
          <w:lang w:val="en-GB"/>
        </w:rPr>
        <w:t>he basic charge 1 is based on train-km and is different between three different market segments and between f</w:t>
      </w:r>
      <w:r w:rsidRPr="000A6B0A">
        <w:rPr>
          <w:rFonts w:asciiTheme="minorHAnsi" w:hAnsiTheme="minorHAnsi"/>
          <w:sz w:val="22"/>
          <w:szCs w:val="22"/>
          <w:lang w:val="en-GB"/>
        </w:rPr>
        <w:t>ive different route categories;</w:t>
      </w:r>
    </w:p>
    <w:p w:rsidR="001E3837" w:rsidRPr="000A6B0A" w:rsidRDefault="00E27140" w:rsidP="0086605D">
      <w:pPr>
        <w:pStyle w:val="Paragraphedeliste"/>
        <w:numPr>
          <w:ilvl w:val="0"/>
          <w:numId w:val="1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w:t>
      </w:r>
      <w:r w:rsidR="001E3837" w:rsidRPr="000A6B0A">
        <w:rPr>
          <w:rFonts w:asciiTheme="minorHAnsi" w:hAnsiTheme="minorHAnsi"/>
          <w:sz w:val="22"/>
          <w:szCs w:val="22"/>
          <w:lang w:val="en-GB"/>
        </w:rPr>
        <w:t>he basic charge 2 is charged on gross-ton</w:t>
      </w:r>
      <w:r w:rsidR="00716577" w:rsidRPr="000A6B0A">
        <w:rPr>
          <w:rFonts w:asciiTheme="minorHAnsi" w:hAnsiTheme="minorHAnsi"/>
          <w:sz w:val="22"/>
          <w:szCs w:val="22"/>
          <w:lang w:val="en-GB"/>
        </w:rPr>
        <w:t>ne</w:t>
      </w:r>
      <w:r w:rsidR="001E3837" w:rsidRPr="000A6B0A">
        <w:rPr>
          <w:rFonts w:asciiTheme="minorHAnsi" w:hAnsiTheme="minorHAnsi"/>
          <w:sz w:val="22"/>
          <w:szCs w:val="22"/>
          <w:lang w:val="en-GB"/>
        </w:rPr>
        <w:t xml:space="preserve"> km and </w:t>
      </w:r>
      <w:r w:rsidR="00F85AE5">
        <w:rPr>
          <w:rFonts w:asciiTheme="minorHAnsi" w:hAnsiTheme="minorHAnsi"/>
          <w:sz w:val="22"/>
          <w:szCs w:val="22"/>
          <w:lang w:val="en-GB"/>
        </w:rPr>
        <w:t>it covers</w:t>
      </w:r>
      <w:r w:rsidR="001E3837" w:rsidRPr="000A6B0A">
        <w:rPr>
          <w:rFonts w:asciiTheme="minorHAnsi" w:hAnsiTheme="minorHAnsi"/>
          <w:sz w:val="22"/>
          <w:szCs w:val="22"/>
          <w:lang w:val="en-GB"/>
        </w:rPr>
        <w:t xml:space="preserve"> the cost for repair and renewal. Incentives and mark-ups are added to the basic charges. </w:t>
      </w:r>
    </w:p>
    <w:p w:rsidR="001E3837" w:rsidRPr="000A6B0A" w:rsidRDefault="001E3837" w:rsidP="0004580B">
      <w:pPr>
        <w:jc w:val="both"/>
        <w:rPr>
          <w:rFonts w:asciiTheme="minorHAnsi" w:hAnsiTheme="minorHAnsi" w:cs="Calibri"/>
          <w:sz w:val="24"/>
          <w:szCs w:val="24"/>
          <w:lang w:val="en-GB"/>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256"/>
        <w:gridCol w:w="3191"/>
        <w:gridCol w:w="2340"/>
      </w:tblGrid>
      <w:tr w:rsidR="001E3837" w:rsidRPr="000A6B0A" w:rsidTr="002A2381">
        <w:trPr>
          <w:jc w:val="center"/>
        </w:trPr>
        <w:tc>
          <w:tcPr>
            <w:tcW w:w="1604" w:type="dxa"/>
            <w:shd w:val="pct50" w:color="auto" w:fill="auto"/>
            <w:vAlign w:val="center"/>
          </w:tcPr>
          <w:p w:rsidR="001E3837" w:rsidRPr="000A6B0A" w:rsidRDefault="001E3837"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256" w:type="dxa"/>
            <w:shd w:val="pct50" w:color="auto" w:fill="auto"/>
            <w:vAlign w:val="center"/>
          </w:tcPr>
          <w:p w:rsidR="001E3837" w:rsidRPr="000A6B0A" w:rsidRDefault="001E3837"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191" w:type="dxa"/>
            <w:shd w:val="pct50" w:color="auto" w:fill="auto"/>
            <w:vAlign w:val="center"/>
          </w:tcPr>
          <w:p w:rsidR="001E3837"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1E3837" w:rsidRPr="000A6B0A" w:rsidRDefault="001E3837"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1E3837" w:rsidRPr="00C54CEB" w:rsidTr="002A2381">
        <w:trPr>
          <w:jc w:val="center"/>
        </w:trPr>
        <w:tc>
          <w:tcPr>
            <w:tcW w:w="1604"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Basic Charge 1</w:t>
            </w:r>
          </w:p>
          <w:p w:rsidR="001E3837" w:rsidRPr="000A6B0A" w:rsidRDefault="001E3837">
            <w:pPr>
              <w:jc w:val="center"/>
              <w:rPr>
                <w:rFonts w:asciiTheme="minorHAnsi" w:hAnsiTheme="minorHAnsi" w:cs="Calibri"/>
                <w:b/>
                <w:sz w:val="20"/>
                <w:szCs w:val="20"/>
                <w:lang w:val="en-GB" w:eastAsia="de-CH"/>
              </w:rPr>
            </w:pPr>
          </w:p>
        </w:tc>
        <w:tc>
          <w:tcPr>
            <w:tcW w:w="125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19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Route category (5)</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Market segmentation (traffic) (3)</w:t>
            </w:r>
          </w:p>
          <w:p w:rsidR="001E3837" w:rsidRPr="000A6B0A" w:rsidRDefault="001E3837" w:rsidP="0086605D">
            <w:pPr>
              <w:pStyle w:val="Tabellentextrechts"/>
              <w:spacing w:before="0" w:after="0"/>
              <w:jc w:val="center"/>
              <w:rPr>
                <w:rFonts w:asciiTheme="minorHAnsi" w:hAnsiTheme="minorHAnsi" w:cs="Calibri"/>
                <w:sz w:val="20"/>
                <w:lang w:val="en-GB"/>
              </w:rPr>
            </w:pP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Marginal cost and part of fixed costs</w:t>
            </w:r>
          </w:p>
        </w:tc>
      </w:tr>
      <w:tr w:rsidR="001E3837" w:rsidRPr="00C54CEB" w:rsidTr="002A2381">
        <w:trPr>
          <w:jc w:val="center"/>
        </w:trPr>
        <w:tc>
          <w:tcPr>
            <w:tcW w:w="1604"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Basic Charge 2</w:t>
            </w:r>
          </w:p>
          <w:p w:rsidR="001E3837" w:rsidRPr="000A6B0A" w:rsidRDefault="001E3837">
            <w:pPr>
              <w:jc w:val="center"/>
              <w:rPr>
                <w:rFonts w:asciiTheme="minorHAnsi" w:hAnsiTheme="minorHAnsi" w:cs="Calibri"/>
                <w:b/>
                <w:sz w:val="20"/>
                <w:szCs w:val="20"/>
                <w:lang w:val="en-GB" w:eastAsia="de-CH"/>
              </w:rPr>
            </w:pPr>
          </w:p>
        </w:tc>
        <w:tc>
          <w:tcPr>
            <w:tcW w:w="125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€/gross-ton km</w:t>
            </w:r>
          </w:p>
        </w:tc>
        <w:tc>
          <w:tcPr>
            <w:tcW w:w="319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No market segmentation</w:t>
            </w: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Cost for repair and renewal</w:t>
            </w:r>
          </w:p>
        </w:tc>
      </w:tr>
      <w:tr w:rsidR="001E3837" w:rsidRPr="000A6B0A" w:rsidTr="002A2381">
        <w:trPr>
          <w:jc w:val="center"/>
        </w:trPr>
        <w:tc>
          <w:tcPr>
            <w:tcW w:w="1604"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Incentives and Mark-ups</w:t>
            </w:r>
          </w:p>
        </w:tc>
        <w:tc>
          <w:tcPr>
            <w:tcW w:w="125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19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Incentive for capacity optimisation (1) </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Corridor-specific Freight Traffic Incentive (2)</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Engine classification (3)</w:t>
            </w:r>
          </w:p>
          <w:p w:rsidR="001E3837" w:rsidRPr="000A6B0A" w:rsidRDefault="001E3837" w:rsidP="0086605D">
            <w:pPr>
              <w:pStyle w:val="Tabellentextrechts"/>
              <w:spacing w:before="0" w:after="0"/>
              <w:jc w:val="center"/>
              <w:rPr>
                <w:rFonts w:asciiTheme="minorHAnsi" w:hAnsiTheme="minorHAnsi" w:cs="Calibri"/>
                <w:color w:val="0000FF"/>
                <w:sz w:val="20"/>
                <w:lang w:val="en-GB"/>
              </w:rPr>
            </w:pPr>
            <w:r w:rsidRPr="000A6B0A">
              <w:rPr>
                <w:rFonts w:asciiTheme="minorHAnsi" w:hAnsiTheme="minorHAnsi" w:cs="Calibri"/>
                <w:sz w:val="20"/>
                <w:lang w:val="en-GB"/>
              </w:rPr>
              <w:t>Congestion charge (1)</w:t>
            </w: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color w:val="0000FF"/>
                <w:sz w:val="20"/>
                <w:lang w:val="en-GB"/>
              </w:rPr>
            </w:pPr>
          </w:p>
        </w:tc>
      </w:tr>
      <w:tr w:rsidR="001E3837" w:rsidRPr="00C54CEB" w:rsidTr="00992827">
        <w:trPr>
          <w:jc w:val="center"/>
        </w:trPr>
        <w:tc>
          <w:tcPr>
            <w:tcW w:w="1604"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bookmarkStart w:id="37" w:name="_Toc335053383"/>
            <w:r w:rsidRPr="000A6B0A">
              <w:rPr>
                <w:rFonts w:asciiTheme="minorHAnsi" w:hAnsiTheme="minorHAnsi" w:cs="Calibri"/>
                <w:b/>
                <w:sz w:val="20"/>
                <w:lang w:val="en-GB"/>
              </w:rPr>
              <w:t>Performance regime</w:t>
            </w:r>
          </w:p>
        </w:tc>
        <w:tc>
          <w:tcPr>
            <w:tcW w:w="125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€/min delay</w:t>
            </w:r>
          </w:p>
        </w:tc>
        <w:tc>
          <w:tcPr>
            <w:tcW w:w="319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To reduce disturbance in the rail network, a charge will be levied for each additional minute of delay on selected trains if the delays are attributable to causes which can be influenced. Unit is by delay in minute</w:t>
            </w:r>
            <w:r w:rsidR="003262BF" w:rsidRPr="000A6B0A">
              <w:rPr>
                <w:rFonts w:asciiTheme="minorHAnsi" w:hAnsiTheme="minorHAnsi" w:cs="Calibri"/>
                <w:sz w:val="20"/>
                <w:lang w:val="en-GB"/>
              </w:rPr>
              <w:t xml:space="preserve"> (</w:t>
            </w:r>
            <w:r w:rsidRPr="000A6B0A">
              <w:rPr>
                <w:rFonts w:asciiTheme="minorHAnsi" w:hAnsiTheme="minorHAnsi" w:cs="Calibri"/>
                <w:sz w:val="20"/>
                <w:lang w:val="en-GB"/>
              </w:rPr>
              <w:t>capped</w:t>
            </w:r>
            <w:r w:rsidR="003262BF" w:rsidRPr="000A6B0A">
              <w:rPr>
                <w:rFonts w:asciiTheme="minorHAnsi" w:hAnsiTheme="minorHAnsi" w:cs="Calibri"/>
                <w:sz w:val="20"/>
                <w:lang w:val="en-GB"/>
              </w:rPr>
              <w:t>)</w:t>
            </w:r>
            <w:r w:rsidRPr="000A6B0A">
              <w:rPr>
                <w:rFonts w:asciiTheme="minorHAnsi" w:hAnsiTheme="minorHAnsi" w:cs="Calibri"/>
                <w:sz w:val="20"/>
                <w:lang w:val="en-GB"/>
              </w:rPr>
              <w:t xml:space="preserve"> attributable to IM or RU.</w:t>
            </w: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color w:val="0000FF"/>
                <w:sz w:val="20"/>
                <w:lang w:val="en-GB"/>
              </w:rPr>
            </w:pPr>
          </w:p>
        </w:tc>
      </w:tr>
      <w:bookmarkEnd w:id="37"/>
    </w:tbl>
    <w:p w:rsidR="001E3837" w:rsidRPr="000A6B0A" w:rsidRDefault="001E3837" w:rsidP="00AC5C05">
      <w:pPr>
        <w:rPr>
          <w:rFonts w:asciiTheme="minorHAnsi" w:hAnsiTheme="minorHAnsi" w:cs="Calibri"/>
          <w:lang w:val="en-GB"/>
        </w:rPr>
      </w:pPr>
    </w:p>
    <w:p w:rsidR="00094DB6" w:rsidRPr="007B1056" w:rsidRDefault="00094DB6" w:rsidP="0086605D">
      <w:pPr>
        <w:spacing w:after="240" w:line="276" w:lineRule="auto"/>
        <w:jc w:val="both"/>
        <w:rPr>
          <w:rFonts w:asciiTheme="minorHAnsi" w:hAnsiTheme="minorHAnsi"/>
          <w:sz w:val="22"/>
          <w:szCs w:val="22"/>
          <w:lang w:val="en-GB"/>
        </w:rPr>
      </w:pPr>
      <w:r w:rsidRPr="007B1056">
        <w:rPr>
          <w:rFonts w:asciiTheme="minorHAnsi" w:hAnsiTheme="minorHAnsi"/>
          <w:sz w:val="22"/>
          <w:szCs w:val="22"/>
          <w:lang w:val="en-GB"/>
        </w:rPr>
        <w:t>The charging system for 2018</w:t>
      </w:r>
      <w:r>
        <w:rPr>
          <w:rStyle w:val="Appelnotedebasdep"/>
          <w:rFonts w:asciiTheme="minorHAnsi" w:hAnsiTheme="minorHAnsi"/>
          <w:sz w:val="22"/>
          <w:szCs w:val="22"/>
          <w:lang w:val="en-GB"/>
        </w:rPr>
        <w:footnoteReference w:id="84"/>
      </w:r>
      <w:r w:rsidRPr="007B1056">
        <w:rPr>
          <w:rFonts w:asciiTheme="minorHAnsi" w:hAnsiTheme="minorHAnsi"/>
          <w:sz w:val="22"/>
          <w:szCs w:val="22"/>
          <w:lang w:val="en-GB"/>
        </w:rPr>
        <w:t xml:space="preserve"> will also contain a Basic Charge 1 and Basic Charge 2. Both cover direct cost in total and Basic Charge 1 also includes the mark-ups:</w:t>
      </w:r>
    </w:p>
    <w:tbl>
      <w:tblPr>
        <w:tblW w:w="0" w:type="auto"/>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1610"/>
        <w:gridCol w:w="3601"/>
        <w:gridCol w:w="1783"/>
      </w:tblGrid>
      <w:tr w:rsidR="00094DB6" w:rsidRPr="000A6B0A" w:rsidTr="00397281">
        <w:trPr>
          <w:jc w:val="center"/>
        </w:trPr>
        <w:tc>
          <w:tcPr>
            <w:tcW w:w="1450" w:type="dxa"/>
            <w:shd w:val="pct50" w:color="auto" w:fill="auto"/>
            <w:vAlign w:val="center"/>
          </w:tcPr>
          <w:p w:rsidR="00094DB6" w:rsidRPr="000A6B0A" w:rsidRDefault="00094DB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610" w:type="dxa"/>
            <w:shd w:val="pct50" w:color="auto" w:fill="auto"/>
            <w:vAlign w:val="center"/>
          </w:tcPr>
          <w:p w:rsidR="00094DB6" w:rsidRPr="000A6B0A" w:rsidRDefault="00094DB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601" w:type="dxa"/>
            <w:shd w:val="pct50" w:color="auto" w:fill="auto"/>
            <w:vAlign w:val="center"/>
          </w:tcPr>
          <w:p w:rsidR="00094DB6" w:rsidRPr="000A6B0A" w:rsidRDefault="00094DB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1783" w:type="dxa"/>
            <w:shd w:val="pct50" w:color="auto" w:fill="auto"/>
            <w:vAlign w:val="center"/>
          </w:tcPr>
          <w:p w:rsidR="00094DB6" w:rsidRPr="000A6B0A" w:rsidRDefault="00094DB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094DB6" w:rsidRPr="00C54CEB" w:rsidTr="00397281">
        <w:trPr>
          <w:jc w:val="center"/>
        </w:trPr>
        <w:tc>
          <w:tcPr>
            <w:tcW w:w="1450" w:type="dxa"/>
            <w:vAlign w:val="center"/>
          </w:tcPr>
          <w:p w:rsidR="00094DB6" w:rsidRPr="000A6B0A" w:rsidRDefault="00094DB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Basic Charge 1</w:t>
            </w:r>
          </w:p>
        </w:tc>
        <w:tc>
          <w:tcPr>
            <w:tcW w:w="1610"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601"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Market segmentation (traffic) (</w:t>
            </w:r>
            <w:r>
              <w:rPr>
                <w:rFonts w:asciiTheme="minorHAnsi" w:hAnsiTheme="minorHAnsi" w:cs="Calibri"/>
                <w:sz w:val="20"/>
                <w:lang w:val="en-GB"/>
              </w:rPr>
              <w:t>6</w:t>
            </w:r>
            <w:r w:rsidRPr="000A6B0A">
              <w:rPr>
                <w:rFonts w:asciiTheme="minorHAnsi" w:hAnsiTheme="minorHAnsi" w:cs="Calibri"/>
                <w:sz w:val="20"/>
                <w:lang w:val="en-GB"/>
              </w:rPr>
              <w:t>)</w:t>
            </w:r>
          </w:p>
        </w:tc>
        <w:tc>
          <w:tcPr>
            <w:tcW w:w="1783" w:type="dxa"/>
            <w:vMerge w:val="restart"/>
            <w:vAlign w:val="center"/>
          </w:tcPr>
          <w:p w:rsidR="00094DB6" w:rsidRPr="007B1056" w:rsidRDefault="00094DB6" w:rsidP="0086605D">
            <w:pPr>
              <w:pStyle w:val="Tabellentextrechts"/>
              <w:spacing w:before="0" w:after="0"/>
              <w:ind w:right="0"/>
              <w:jc w:val="center"/>
              <w:rPr>
                <w:rFonts w:asciiTheme="minorHAnsi" w:hAnsiTheme="minorHAnsi" w:cs="Calibri"/>
                <w:b/>
                <w:color w:val="FFFFFF"/>
                <w:sz w:val="20"/>
                <w:lang w:val="en-GB"/>
              </w:rPr>
            </w:pPr>
            <w:r w:rsidRPr="007B1056">
              <w:rPr>
                <w:rFonts w:asciiTheme="minorHAnsi" w:hAnsiTheme="minorHAnsi" w:cs="Calibri"/>
                <w:sz w:val="20"/>
                <w:lang w:val="en-GB"/>
              </w:rPr>
              <w:t>Direct co</w:t>
            </w:r>
            <w:r>
              <w:rPr>
                <w:rFonts w:asciiTheme="minorHAnsi" w:hAnsiTheme="minorHAnsi" w:cs="Calibri"/>
                <w:sz w:val="20"/>
                <w:lang w:val="en-GB"/>
              </w:rPr>
              <w:t>s</w:t>
            </w:r>
            <w:r w:rsidRPr="007B1056">
              <w:rPr>
                <w:rFonts w:asciiTheme="minorHAnsi" w:hAnsiTheme="minorHAnsi" w:cs="Calibri"/>
                <w:sz w:val="20"/>
                <w:lang w:val="en-GB"/>
              </w:rPr>
              <w:t>ts plus mark</w:t>
            </w:r>
            <w:r>
              <w:rPr>
                <w:rFonts w:asciiTheme="minorHAnsi" w:hAnsiTheme="minorHAnsi" w:cs="Calibri"/>
                <w:sz w:val="20"/>
                <w:lang w:val="en-GB"/>
              </w:rPr>
              <w:t>-</w:t>
            </w:r>
            <w:r w:rsidRPr="007B1056">
              <w:rPr>
                <w:rFonts w:asciiTheme="minorHAnsi" w:hAnsiTheme="minorHAnsi" w:cs="Calibri"/>
                <w:sz w:val="20"/>
                <w:lang w:val="en-GB"/>
              </w:rPr>
              <w:t>up</w:t>
            </w:r>
          </w:p>
        </w:tc>
      </w:tr>
      <w:tr w:rsidR="00094DB6" w:rsidRPr="000A6B0A" w:rsidTr="00397281">
        <w:trPr>
          <w:trHeight w:val="405"/>
          <w:jc w:val="center"/>
        </w:trPr>
        <w:tc>
          <w:tcPr>
            <w:tcW w:w="1450" w:type="dxa"/>
            <w:vAlign w:val="center"/>
          </w:tcPr>
          <w:p w:rsidR="00094DB6" w:rsidRPr="000A6B0A" w:rsidRDefault="00094DB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Basic Charge 2</w:t>
            </w:r>
          </w:p>
        </w:tc>
        <w:tc>
          <w:tcPr>
            <w:tcW w:w="1610"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€/gross-ton km</w:t>
            </w:r>
          </w:p>
        </w:tc>
        <w:tc>
          <w:tcPr>
            <w:tcW w:w="3601"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Market segmentation (traffic) (</w:t>
            </w:r>
            <w:r>
              <w:rPr>
                <w:rFonts w:asciiTheme="minorHAnsi" w:hAnsiTheme="minorHAnsi" w:cs="Calibri"/>
                <w:sz w:val="20"/>
                <w:lang w:val="en-GB"/>
              </w:rPr>
              <w:t>6</w:t>
            </w:r>
            <w:r w:rsidRPr="000A6B0A">
              <w:rPr>
                <w:rFonts w:asciiTheme="minorHAnsi" w:hAnsiTheme="minorHAnsi" w:cs="Calibri"/>
                <w:sz w:val="20"/>
                <w:lang w:val="en-GB"/>
              </w:rPr>
              <w:t>)</w:t>
            </w:r>
          </w:p>
        </w:tc>
        <w:tc>
          <w:tcPr>
            <w:tcW w:w="1783" w:type="dxa"/>
            <w:vMerge/>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p>
        </w:tc>
      </w:tr>
      <w:tr w:rsidR="00094DB6" w:rsidRPr="000A6B0A" w:rsidTr="00397281">
        <w:trPr>
          <w:trHeight w:val="199"/>
          <w:jc w:val="center"/>
        </w:trPr>
        <w:tc>
          <w:tcPr>
            <w:tcW w:w="1450" w:type="dxa"/>
            <w:vAlign w:val="center"/>
          </w:tcPr>
          <w:p w:rsidR="00094DB6" w:rsidRPr="000A6B0A" w:rsidRDefault="00094DB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Incentives and Mark-ups</w:t>
            </w:r>
          </w:p>
        </w:tc>
        <w:tc>
          <w:tcPr>
            <w:tcW w:w="1610"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601"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Engine classification (3)</w:t>
            </w:r>
          </w:p>
          <w:p w:rsidR="00094DB6" w:rsidRPr="000A6B0A" w:rsidRDefault="00094DB6" w:rsidP="0086605D">
            <w:pPr>
              <w:pStyle w:val="Tabellentextrechts"/>
              <w:spacing w:before="0" w:after="0"/>
              <w:jc w:val="center"/>
              <w:rPr>
                <w:rFonts w:asciiTheme="minorHAnsi" w:hAnsiTheme="minorHAnsi" w:cs="Calibri"/>
                <w:color w:val="0000FF"/>
                <w:sz w:val="20"/>
                <w:lang w:val="en-GB"/>
              </w:rPr>
            </w:pPr>
            <w:r w:rsidRPr="000A6B0A">
              <w:rPr>
                <w:rFonts w:asciiTheme="minorHAnsi" w:hAnsiTheme="minorHAnsi" w:cs="Calibri"/>
                <w:sz w:val="20"/>
                <w:lang w:val="en-GB"/>
              </w:rPr>
              <w:t>Congestion charge (1)</w:t>
            </w:r>
          </w:p>
        </w:tc>
        <w:tc>
          <w:tcPr>
            <w:tcW w:w="1783" w:type="dxa"/>
            <w:vAlign w:val="center"/>
          </w:tcPr>
          <w:p w:rsidR="00094DB6" w:rsidRPr="000A6B0A" w:rsidRDefault="00094DB6" w:rsidP="0086605D">
            <w:pPr>
              <w:pStyle w:val="Tabellentextrechts"/>
              <w:spacing w:before="0" w:after="0"/>
              <w:jc w:val="center"/>
              <w:rPr>
                <w:rFonts w:asciiTheme="minorHAnsi" w:hAnsiTheme="minorHAnsi" w:cs="Calibri"/>
                <w:color w:val="0000FF"/>
                <w:sz w:val="20"/>
                <w:lang w:val="en-GB"/>
              </w:rPr>
            </w:pPr>
          </w:p>
        </w:tc>
      </w:tr>
      <w:tr w:rsidR="00094DB6" w:rsidRPr="000A6B0A" w:rsidTr="00397281">
        <w:trPr>
          <w:trHeight w:val="309"/>
          <w:jc w:val="center"/>
        </w:trPr>
        <w:tc>
          <w:tcPr>
            <w:tcW w:w="1450" w:type="dxa"/>
            <w:vAlign w:val="center"/>
          </w:tcPr>
          <w:p w:rsidR="00094DB6" w:rsidRPr="000A6B0A" w:rsidRDefault="00094DB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Performance regime</w:t>
            </w:r>
          </w:p>
        </w:tc>
        <w:tc>
          <w:tcPr>
            <w:tcW w:w="1610"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€/min delay</w:t>
            </w:r>
          </w:p>
        </w:tc>
        <w:tc>
          <w:tcPr>
            <w:tcW w:w="3601" w:type="dxa"/>
            <w:vAlign w:val="center"/>
          </w:tcPr>
          <w:p w:rsidR="00094DB6" w:rsidRPr="000A6B0A" w:rsidRDefault="00094DB6"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Same as 2017</w:t>
            </w:r>
          </w:p>
        </w:tc>
        <w:tc>
          <w:tcPr>
            <w:tcW w:w="1783" w:type="dxa"/>
            <w:vAlign w:val="center"/>
          </w:tcPr>
          <w:p w:rsidR="00094DB6" w:rsidRPr="000A6B0A" w:rsidRDefault="00094DB6" w:rsidP="0086605D">
            <w:pPr>
              <w:pStyle w:val="Tabellentextrechts"/>
              <w:spacing w:before="0" w:after="0"/>
              <w:jc w:val="center"/>
              <w:rPr>
                <w:rFonts w:asciiTheme="minorHAnsi" w:hAnsiTheme="minorHAnsi" w:cs="Calibri"/>
                <w:color w:val="0000FF"/>
                <w:sz w:val="20"/>
                <w:lang w:val="en-GB"/>
              </w:rPr>
            </w:pPr>
          </w:p>
        </w:tc>
      </w:tr>
    </w:tbl>
    <w:p w:rsidR="00094DB6" w:rsidRPr="007B1056" w:rsidRDefault="00094DB6" w:rsidP="00094DB6">
      <w:pPr>
        <w:rPr>
          <w:rFonts w:asciiTheme="minorHAnsi" w:hAnsiTheme="minorHAnsi" w:cs="Calibri"/>
          <w:sz w:val="2"/>
          <w:szCs w:val="2"/>
        </w:rPr>
      </w:pPr>
    </w:p>
    <w:p w:rsidR="00C52A47" w:rsidRDefault="001E3837" w:rsidP="00E561FB">
      <w:pPr>
        <w:pStyle w:val="Titre2"/>
        <w:numPr>
          <w:ilvl w:val="1"/>
          <w:numId w:val="14"/>
        </w:numPr>
        <w:tabs>
          <w:tab w:val="left" w:pos="720"/>
        </w:tabs>
        <w:jc w:val="both"/>
        <w:rPr>
          <w:rFonts w:asciiTheme="minorHAnsi" w:hAnsiTheme="minorHAnsi" w:cs="Calibri"/>
          <w:b w:val="0"/>
          <w:smallCaps/>
          <w:sz w:val="24"/>
          <w:szCs w:val="24"/>
          <w:u w:val="single"/>
          <w:lang w:val="en-GB"/>
        </w:rPr>
      </w:pPr>
      <w:r w:rsidRPr="000A6B0A">
        <w:rPr>
          <w:rFonts w:asciiTheme="minorHAnsi" w:hAnsiTheme="minorHAnsi" w:cs="Calibri"/>
          <w:b w:val="0"/>
          <w:smallCaps/>
          <w:sz w:val="24"/>
          <w:szCs w:val="24"/>
          <w:u w:val="single"/>
          <w:lang w:val="en-GB"/>
        </w:rPr>
        <w:br w:type="page"/>
      </w:r>
    </w:p>
    <w:p w:rsidR="000D76CB" w:rsidRPr="0086605D" w:rsidRDefault="000D76CB" w:rsidP="0086605D">
      <w:pPr>
        <w:pStyle w:val="Titre1"/>
        <w:numPr>
          <w:ilvl w:val="1"/>
          <w:numId w:val="13"/>
        </w:numPr>
        <w:tabs>
          <w:tab w:val="left" w:pos="708"/>
        </w:tabs>
        <w:spacing w:line="276" w:lineRule="auto"/>
        <w:jc w:val="both"/>
        <w:rPr>
          <w:rFonts w:asciiTheme="minorHAnsi" w:hAnsiTheme="minorHAnsi"/>
          <w:sz w:val="22"/>
          <w:szCs w:val="22"/>
          <w:lang w:val="en-GB"/>
        </w:rPr>
      </w:pPr>
      <w:bookmarkStart w:id="38" w:name="_Toc496279019"/>
      <w:r w:rsidRPr="0086605D">
        <w:rPr>
          <w:rFonts w:asciiTheme="minorHAnsi" w:hAnsiTheme="minorHAnsi"/>
          <w:sz w:val="22"/>
          <w:szCs w:val="22"/>
          <w:lang w:val="en-GB"/>
        </w:rPr>
        <w:lastRenderedPageBreak/>
        <w:t>Belgium</w:t>
      </w:r>
      <w:bookmarkEnd w:id="38"/>
    </w:p>
    <w:p w:rsidR="000D76CB" w:rsidRDefault="000D76CB" w:rsidP="000D76CB">
      <w:pPr>
        <w:rPr>
          <w:lang w:val="en-GB"/>
        </w:rPr>
      </w:pPr>
    </w:p>
    <w:p w:rsidR="000D76CB" w:rsidRPr="0086605D" w:rsidRDefault="000D76CB" w:rsidP="0086605D">
      <w:pPr>
        <w:spacing w:line="276" w:lineRule="auto"/>
        <w:jc w:val="both"/>
        <w:rPr>
          <w:rFonts w:asciiTheme="minorHAnsi" w:hAnsiTheme="minorHAnsi"/>
          <w:sz w:val="22"/>
          <w:szCs w:val="22"/>
          <w:lang w:val="en-GB"/>
        </w:rPr>
      </w:pPr>
      <w:r w:rsidRPr="0086605D">
        <w:rPr>
          <w:rFonts w:asciiTheme="minorHAnsi" w:hAnsiTheme="minorHAnsi"/>
          <w:sz w:val="22"/>
          <w:szCs w:val="22"/>
          <w:lang w:val="en-GB"/>
        </w:rPr>
        <w:t>In Belgium, the implementing act 2015/909 has not yet been implemented. The target of the IM is to implement a new charging system as per 2019. The IM has drafted a new charging system compliant with the implementing act 2015/909. This draft is under review by the office of the Ministry of Mobility and Transport and will be submitted to the RB.</w:t>
      </w:r>
    </w:p>
    <w:p w:rsidR="000D76CB" w:rsidRPr="0086605D" w:rsidRDefault="000D76CB" w:rsidP="0086605D">
      <w:pPr>
        <w:spacing w:line="276" w:lineRule="auto"/>
        <w:jc w:val="both"/>
        <w:rPr>
          <w:rFonts w:asciiTheme="minorHAnsi" w:hAnsiTheme="minorHAnsi"/>
          <w:sz w:val="22"/>
          <w:szCs w:val="22"/>
          <w:lang w:val="en-GB"/>
        </w:rPr>
      </w:pPr>
    </w:p>
    <w:p w:rsidR="000D76CB" w:rsidRPr="0086605D" w:rsidRDefault="000D76CB" w:rsidP="0086605D">
      <w:pPr>
        <w:spacing w:line="276" w:lineRule="auto"/>
        <w:jc w:val="both"/>
        <w:rPr>
          <w:rFonts w:asciiTheme="minorHAnsi" w:hAnsiTheme="minorHAnsi"/>
          <w:sz w:val="22"/>
          <w:szCs w:val="22"/>
          <w:lang w:val="en-GB"/>
        </w:rPr>
      </w:pPr>
      <w:r w:rsidRPr="0086605D">
        <w:rPr>
          <w:rFonts w:asciiTheme="minorHAnsi" w:hAnsiTheme="minorHAnsi"/>
          <w:sz w:val="22"/>
          <w:szCs w:val="22"/>
          <w:lang w:val="en-GB"/>
        </w:rPr>
        <w:t>The charges related to the minimum access package are split</w:t>
      </w:r>
      <w:r w:rsidRPr="000D76CB">
        <w:rPr>
          <w:rFonts w:asciiTheme="minorHAnsi" w:hAnsiTheme="minorHAnsi"/>
          <w:sz w:val="22"/>
          <w:szCs w:val="22"/>
          <w:lang w:val="en-GB"/>
        </w:rPr>
        <w:t xml:space="preserve"> in the following categories:</w:t>
      </w:r>
    </w:p>
    <w:p w:rsidR="000D76CB" w:rsidRPr="0086605D" w:rsidRDefault="000D76CB" w:rsidP="0086605D">
      <w:pPr>
        <w:pStyle w:val="Paragraphedeliste"/>
        <w:numPr>
          <w:ilvl w:val="0"/>
          <w:numId w:val="44"/>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Charge path line</w:t>
      </w:r>
      <w:r w:rsidR="00F87B1F">
        <w:rPr>
          <w:rFonts w:asciiTheme="minorHAnsi" w:hAnsiTheme="minorHAnsi"/>
          <w:sz w:val="22"/>
          <w:szCs w:val="22"/>
          <w:lang w:val="en-GB"/>
        </w:rPr>
        <w:t xml:space="preserve"> </w:t>
      </w:r>
      <w:r w:rsidRPr="0086605D">
        <w:rPr>
          <w:rFonts w:asciiTheme="minorHAnsi" w:hAnsiTheme="minorHAnsi"/>
          <w:sz w:val="22"/>
          <w:szCs w:val="22"/>
          <w:lang w:val="en-GB"/>
        </w:rPr>
        <w:t>”Your move” in order to get a specific path on a line.</w:t>
      </w:r>
    </w:p>
    <w:p w:rsidR="000D76CB" w:rsidRPr="0086605D" w:rsidRDefault="000D76CB" w:rsidP="0086605D">
      <w:pPr>
        <w:pStyle w:val="Paragraphedeliste"/>
        <w:numPr>
          <w:ilvl w:val="0"/>
          <w:numId w:val="44"/>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Shunting charge “Your shunt”.</w:t>
      </w:r>
    </w:p>
    <w:p w:rsidR="000D76CB" w:rsidRPr="0086605D" w:rsidRDefault="000D76CB" w:rsidP="0086605D">
      <w:pPr>
        <w:pStyle w:val="Paragraphedeliste"/>
        <w:numPr>
          <w:ilvl w:val="0"/>
          <w:numId w:val="44"/>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Charge for use of service facilities</w:t>
      </w:r>
    </w:p>
    <w:p w:rsidR="000D76CB" w:rsidRPr="0086605D" w:rsidRDefault="000D76CB" w:rsidP="0086605D">
      <w:pPr>
        <w:pStyle w:val="Paragraphedeliste"/>
        <w:numPr>
          <w:ilvl w:val="0"/>
          <w:numId w:val="44"/>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Administrative costs</w:t>
      </w:r>
    </w:p>
    <w:p w:rsidR="000D76CB" w:rsidRPr="0086605D" w:rsidRDefault="000D76CB" w:rsidP="0086605D">
      <w:pPr>
        <w:spacing w:line="276" w:lineRule="auto"/>
        <w:jc w:val="both"/>
        <w:rPr>
          <w:rFonts w:asciiTheme="minorHAnsi" w:hAnsiTheme="minorHAnsi"/>
          <w:sz w:val="22"/>
          <w:szCs w:val="22"/>
          <w:lang w:val="en-GB"/>
        </w:rPr>
      </w:pPr>
    </w:p>
    <w:p w:rsidR="000D76CB" w:rsidRPr="0086605D" w:rsidRDefault="000D76CB" w:rsidP="0086605D">
      <w:pPr>
        <w:spacing w:line="276" w:lineRule="auto"/>
        <w:jc w:val="both"/>
        <w:rPr>
          <w:rFonts w:asciiTheme="minorHAnsi" w:hAnsiTheme="minorHAnsi"/>
          <w:sz w:val="22"/>
          <w:szCs w:val="22"/>
          <w:lang w:val="en-GB"/>
        </w:rPr>
      </w:pPr>
      <w:r w:rsidRPr="0086605D">
        <w:rPr>
          <w:rFonts w:asciiTheme="minorHAnsi" w:hAnsiTheme="minorHAnsi"/>
          <w:sz w:val="22"/>
          <w:szCs w:val="22"/>
          <w:lang w:val="en-GB"/>
        </w:rPr>
        <w:t xml:space="preserve">The IM propose other services beyond the scope of the minimum access package which are the </w:t>
      </w:r>
      <w:r w:rsidRPr="000D76CB">
        <w:rPr>
          <w:rFonts w:asciiTheme="minorHAnsi" w:hAnsiTheme="minorHAnsi"/>
          <w:sz w:val="22"/>
          <w:szCs w:val="22"/>
          <w:lang w:val="en-GB"/>
        </w:rPr>
        <w:t>following:</w:t>
      </w:r>
    </w:p>
    <w:p w:rsidR="000D76CB" w:rsidRPr="0086605D" w:rsidRDefault="000D76CB" w:rsidP="0086605D">
      <w:pPr>
        <w:spacing w:line="276" w:lineRule="auto"/>
        <w:jc w:val="both"/>
        <w:rPr>
          <w:rFonts w:asciiTheme="minorHAnsi" w:hAnsiTheme="minorHAnsi"/>
          <w:sz w:val="22"/>
          <w:szCs w:val="22"/>
          <w:lang w:val="en-GB"/>
        </w:rPr>
      </w:pP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Traction provision</w:t>
      </w: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Pre-heating service</w:t>
      </w: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 xml:space="preserve">Service for </w:t>
      </w:r>
      <w:r w:rsidRPr="000D76CB">
        <w:rPr>
          <w:rFonts w:asciiTheme="minorHAnsi" w:hAnsiTheme="minorHAnsi"/>
          <w:sz w:val="22"/>
          <w:szCs w:val="22"/>
          <w:lang w:val="en-GB"/>
        </w:rPr>
        <w:t>exceptional transport</w:t>
      </w:r>
      <w:r w:rsidRPr="0086605D">
        <w:rPr>
          <w:rFonts w:asciiTheme="minorHAnsi" w:hAnsiTheme="minorHAnsi"/>
          <w:sz w:val="22"/>
          <w:szCs w:val="22"/>
          <w:lang w:val="en-GB"/>
        </w:rPr>
        <w:t xml:space="preserve"> and transport of dangerous goods.</w:t>
      </w: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Services beyond opening hours.</w:t>
      </w: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Access to the telecom network</w:t>
      </w:r>
    </w:p>
    <w:p w:rsidR="000D76CB" w:rsidRPr="0086605D" w:rsidRDefault="000D76CB" w:rsidP="0086605D">
      <w:pPr>
        <w:pStyle w:val="Paragraphedeliste"/>
        <w:numPr>
          <w:ilvl w:val="0"/>
          <w:numId w:val="45"/>
        </w:numPr>
        <w:spacing w:line="276" w:lineRule="auto"/>
        <w:jc w:val="both"/>
        <w:rPr>
          <w:rFonts w:asciiTheme="minorHAnsi" w:hAnsiTheme="minorHAnsi"/>
          <w:sz w:val="22"/>
          <w:szCs w:val="22"/>
          <w:lang w:val="en-GB"/>
        </w:rPr>
      </w:pPr>
      <w:r w:rsidRPr="0086605D">
        <w:rPr>
          <w:rFonts w:asciiTheme="minorHAnsi" w:hAnsiTheme="minorHAnsi"/>
          <w:sz w:val="22"/>
          <w:szCs w:val="22"/>
          <w:lang w:val="en-GB"/>
        </w:rPr>
        <w:t xml:space="preserve">Provision of additional </w:t>
      </w:r>
      <w:r w:rsidRPr="000D76CB">
        <w:rPr>
          <w:rFonts w:asciiTheme="minorHAnsi" w:hAnsiTheme="minorHAnsi"/>
          <w:sz w:val="22"/>
          <w:szCs w:val="22"/>
          <w:lang w:val="en-GB"/>
        </w:rPr>
        <w:t>information</w:t>
      </w:r>
    </w:p>
    <w:p w:rsidR="000D76CB" w:rsidRPr="0086605D" w:rsidRDefault="000D76CB" w:rsidP="0086605D">
      <w:pPr>
        <w:pStyle w:val="Paragraphedeliste"/>
        <w:spacing w:line="276" w:lineRule="auto"/>
        <w:ind w:left="780"/>
        <w:jc w:val="both"/>
        <w:rPr>
          <w:rFonts w:asciiTheme="minorHAnsi" w:hAnsiTheme="minorHAnsi"/>
          <w:sz w:val="22"/>
          <w:szCs w:val="22"/>
          <w:lang w:val="en-GB"/>
        </w:rPr>
      </w:pPr>
    </w:p>
    <w:p w:rsidR="000D76CB" w:rsidRPr="0086605D" w:rsidRDefault="000D76CB" w:rsidP="0086605D">
      <w:pPr>
        <w:spacing w:line="276" w:lineRule="auto"/>
        <w:jc w:val="both"/>
        <w:rPr>
          <w:rFonts w:asciiTheme="minorHAnsi" w:hAnsiTheme="minorHAnsi"/>
          <w:sz w:val="22"/>
          <w:szCs w:val="22"/>
          <w:lang w:val="en-GB"/>
        </w:rPr>
      </w:pPr>
      <w:r w:rsidRPr="0086605D">
        <w:rPr>
          <w:rFonts w:asciiTheme="minorHAnsi" w:hAnsiTheme="minorHAnsi"/>
          <w:sz w:val="22"/>
          <w:szCs w:val="22"/>
          <w:lang w:val="en-GB"/>
        </w:rPr>
        <w:t>For the provision of those services specific charges are levied.</w:t>
      </w:r>
    </w:p>
    <w:p w:rsidR="000D76CB" w:rsidRDefault="000D76CB" w:rsidP="000D76CB">
      <w:pPr>
        <w:rPr>
          <w:lang w:val="en-GB"/>
        </w:rPr>
      </w:pPr>
    </w:p>
    <w:p w:rsidR="000D76CB" w:rsidRDefault="000D76CB" w:rsidP="000D76CB">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256"/>
        <w:gridCol w:w="3191"/>
        <w:gridCol w:w="2340"/>
      </w:tblGrid>
      <w:tr w:rsidR="000D76CB" w:rsidTr="000D76CB">
        <w:trPr>
          <w:jc w:val="center"/>
        </w:trPr>
        <w:tc>
          <w:tcPr>
            <w:tcW w:w="1604"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0D76CB" w:rsidRDefault="000D76CB" w:rsidP="0086605D">
            <w:pPr>
              <w:pStyle w:val="Tabellenkopf"/>
              <w:spacing w:before="0" w:after="0"/>
              <w:jc w:val="center"/>
              <w:rPr>
                <w:rFonts w:asciiTheme="minorHAnsi" w:hAnsiTheme="minorHAnsi" w:cs="Calibri"/>
                <w:b/>
                <w:color w:val="FFFFFF"/>
                <w:sz w:val="20"/>
                <w:lang w:val="en-GB"/>
              </w:rPr>
            </w:pPr>
            <w:r>
              <w:rPr>
                <w:rFonts w:asciiTheme="minorHAnsi" w:hAnsiTheme="minorHAnsi" w:cs="Calibri"/>
                <w:b/>
                <w:color w:val="FFFFFF"/>
                <w:sz w:val="20"/>
                <w:lang w:val="en-GB"/>
              </w:rPr>
              <w:t>Charge</w:t>
            </w:r>
          </w:p>
        </w:tc>
        <w:tc>
          <w:tcPr>
            <w:tcW w:w="1256"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0D76CB" w:rsidRDefault="000D76CB" w:rsidP="0086605D">
            <w:pPr>
              <w:pStyle w:val="Tabellenkopf"/>
              <w:spacing w:before="0" w:after="0"/>
              <w:jc w:val="center"/>
              <w:rPr>
                <w:rFonts w:asciiTheme="minorHAnsi" w:hAnsiTheme="minorHAnsi" w:cs="Calibri"/>
                <w:b/>
                <w:color w:val="FFFFFF"/>
                <w:sz w:val="20"/>
                <w:lang w:val="en-GB"/>
              </w:rPr>
            </w:pPr>
            <w:r>
              <w:rPr>
                <w:rFonts w:asciiTheme="minorHAnsi" w:hAnsiTheme="minorHAnsi" w:cs="Calibri"/>
                <w:b/>
                <w:color w:val="FFFFFF"/>
                <w:sz w:val="20"/>
                <w:lang w:val="en-GB"/>
              </w:rPr>
              <w:t>Unit</w:t>
            </w:r>
          </w:p>
        </w:tc>
        <w:tc>
          <w:tcPr>
            <w:tcW w:w="3191"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0D76CB" w:rsidRDefault="000D76CB" w:rsidP="0086605D">
            <w:pPr>
              <w:pStyle w:val="Tabellenkopf"/>
              <w:spacing w:before="0" w:after="0"/>
              <w:jc w:val="center"/>
              <w:rPr>
                <w:rFonts w:asciiTheme="minorHAnsi" w:hAnsiTheme="minorHAnsi" w:cs="Calibri"/>
                <w:b/>
                <w:color w:val="FFFFFF"/>
                <w:sz w:val="20"/>
                <w:lang w:val="en-GB"/>
              </w:rPr>
            </w:pPr>
            <w:r>
              <w:rPr>
                <w:rFonts w:asciiTheme="minorHAnsi" w:hAnsiTheme="minorHAnsi" w:cs="Calibri"/>
                <w:b/>
                <w:color w:val="FFFFFF"/>
                <w:sz w:val="20"/>
                <w:lang w:val="en-GB"/>
              </w:rPr>
              <w:t>Differentiation</w:t>
            </w:r>
          </w:p>
        </w:tc>
        <w:tc>
          <w:tcPr>
            <w:tcW w:w="2340"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0D76CB" w:rsidRDefault="000D76CB" w:rsidP="0086605D">
            <w:pPr>
              <w:pStyle w:val="Tabellenkopf"/>
              <w:spacing w:before="0" w:after="0"/>
              <w:jc w:val="center"/>
              <w:rPr>
                <w:rFonts w:asciiTheme="minorHAnsi" w:hAnsiTheme="minorHAnsi" w:cs="Calibri"/>
                <w:b/>
                <w:color w:val="FFFFFF"/>
                <w:sz w:val="20"/>
                <w:lang w:val="en-GB"/>
              </w:rPr>
            </w:pPr>
            <w:r>
              <w:rPr>
                <w:rFonts w:asciiTheme="minorHAnsi" w:hAnsiTheme="minorHAnsi" w:cs="Calibri"/>
                <w:b/>
                <w:color w:val="FFFFFF"/>
                <w:sz w:val="20"/>
                <w:lang w:val="en-GB"/>
              </w:rPr>
              <w:t>Cost covered</w:t>
            </w:r>
          </w:p>
        </w:tc>
      </w:tr>
      <w:tr w:rsidR="000D76CB" w:rsidRPr="00C54CEB" w:rsidTr="000D76CB">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0D76CB" w:rsidRDefault="000D76CB" w:rsidP="0086605D">
            <w:pPr>
              <w:pStyle w:val="Tabellenkopf"/>
              <w:spacing w:before="0" w:after="0"/>
              <w:jc w:val="center"/>
              <w:rPr>
                <w:rFonts w:asciiTheme="minorHAnsi" w:hAnsiTheme="minorHAnsi" w:cs="Calibri"/>
                <w:b/>
                <w:sz w:val="20"/>
                <w:lang w:val="en-GB"/>
              </w:rPr>
            </w:pPr>
            <w:r>
              <w:rPr>
                <w:rFonts w:asciiTheme="minorHAnsi" w:hAnsiTheme="minorHAnsi" w:cs="Calibri"/>
                <w:b/>
                <w:sz w:val="20"/>
                <w:lang w:val="en-GB"/>
              </w:rPr>
              <w:t>Basic Charge 1</w:t>
            </w:r>
          </w:p>
          <w:p w:rsidR="000D76CB" w:rsidRDefault="000D76CB">
            <w:pPr>
              <w:rPr>
                <w:lang w:val="en-GB"/>
              </w:rPr>
            </w:pPr>
            <w:r>
              <w:rPr>
                <w:lang w:val="en-GB" w:eastAsia="de-CH"/>
              </w:rPr>
              <w:t>Your Move</w:t>
            </w:r>
          </w:p>
          <w:p w:rsidR="000D76CB" w:rsidRDefault="000D76CB">
            <w:pPr>
              <w:jc w:val="center"/>
              <w:rPr>
                <w:rFonts w:asciiTheme="minorHAnsi" w:hAnsiTheme="minorHAnsi" w:cs="Calibri"/>
                <w:b/>
                <w:sz w:val="20"/>
                <w:szCs w:val="20"/>
                <w:lang w:val="en-GB" w:eastAsia="de-CH"/>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€/train.km</w:t>
            </w:r>
          </w:p>
        </w:tc>
        <w:tc>
          <w:tcPr>
            <w:tcW w:w="3191"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There are two kinds of charges: The charges related to the path-line and the charge related to the shunting-line. For this latter, there is differentiation between passengers trains and freight trains</w:t>
            </w:r>
          </w:p>
        </w:tc>
        <w:tc>
          <w:tcPr>
            <w:tcW w:w="2340"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Marginal cost and part of fixed costs</w:t>
            </w:r>
          </w:p>
        </w:tc>
      </w:tr>
      <w:tr w:rsidR="000D76CB" w:rsidRPr="00C54CEB" w:rsidTr="000D76CB">
        <w:trPr>
          <w:jc w:val="center"/>
        </w:trPr>
        <w:tc>
          <w:tcPr>
            <w:tcW w:w="1604" w:type="dxa"/>
            <w:tcBorders>
              <w:top w:val="single" w:sz="4" w:space="0" w:color="auto"/>
              <w:left w:val="single" w:sz="4" w:space="0" w:color="auto"/>
              <w:bottom w:val="single" w:sz="4" w:space="0" w:color="auto"/>
              <w:right w:val="single" w:sz="4" w:space="0" w:color="auto"/>
            </w:tcBorders>
            <w:vAlign w:val="center"/>
          </w:tcPr>
          <w:p w:rsidR="000D76CB" w:rsidRDefault="000D76CB" w:rsidP="0086605D">
            <w:pPr>
              <w:pStyle w:val="Tabellenkopf"/>
              <w:spacing w:before="0" w:after="0"/>
              <w:jc w:val="center"/>
              <w:rPr>
                <w:rFonts w:asciiTheme="minorHAnsi" w:hAnsiTheme="minorHAnsi" w:cs="Calibri"/>
                <w:b/>
                <w:sz w:val="20"/>
                <w:lang w:val="en-GB"/>
              </w:rPr>
            </w:pPr>
            <w:r>
              <w:rPr>
                <w:rFonts w:asciiTheme="minorHAnsi" w:hAnsiTheme="minorHAnsi" w:cs="Calibri"/>
                <w:b/>
                <w:sz w:val="20"/>
                <w:lang w:val="en-GB"/>
              </w:rPr>
              <w:t>Basic Charge 2</w:t>
            </w:r>
          </w:p>
          <w:p w:rsidR="000D76CB" w:rsidRDefault="000D76CB">
            <w:pPr>
              <w:rPr>
                <w:lang w:val="en-GB"/>
              </w:rPr>
            </w:pPr>
            <w:r>
              <w:rPr>
                <w:lang w:val="en-GB" w:eastAsia="de-CH"/>
              </w:rPr>
              <w:t>Your Shunt</w:t>
            </w:r>
          </w:p>
          <w:p w:rsidR="000D76CB" w:rsidRDefault="000D76CB">
            <w:pPr>
              <w:jc w:val="center"/>
              <w:rPr>
                <w:rFonts w:asciiTheme="minorHAnsi" w:hAnsiTheme="minorHAnsi" w:cs="Calibri"/>
                <w:b/>
                <w:sz w:val="20"/>
                <w:szCs w:val="20"/>
                <w:lang w:val="en-GB" w:eastAsia="de-CH"/>
              </w:rPr>
            </w:pPr>
          </w:p>
        </w:tc>
        <w:tc>
          <w:tcPr>
            <w:tcW w:w="1256"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€/train.km</w:t>
            </w:r>
          </w:p>
        </w:tc>
        <w:tc>
          <w:tcPr>
            <w:tcW w:w="3191" w:type="dxa"/>
            <w:tcBorders>
              <w:top w:val="single" w:sz="4" w:space="0" w:color="auto"/>
              <w:left w:val="single" w:sz="4" w:space="0" w:color="auto"/>
              <w:bottom w:val="single" w:sz="4" w:space="0" w:color="auto"/>
              <w:right w:val="single" w:sz="4" w:space="0" w:color="auto"/>
            </w:tcBorders>
            <w:vAlign w:val="center"/>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Marginal cost and part of fixed costs</w:t>
            </w:r>
          </w:p>
        </w:tc>
      </w:tr>
      <w:tr w:rsidR="000D76CB" w:rsidTr="000D76CB">
        <w:trPr>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kopf"/>
              <w:spacing w:before="0" w:after="0"/>
              <w:jc w:val="center"/>
              <w:rPr>
                <w:rFonts w:asciiTheme="minorHAnsi" w:hAnsiTheme="minorHAnsi" w:cs="Arial"/>
                <w:b/>
                <w:color w:val="222222"/>
                <w:spacing w:val="0"/>
                <w:sz w:val="20"/>
                <w:lang w:val="en-GB" w:eastAsia="nl-NL"/>
              </w:rPr>
            </w:pPr>
            <w:r w:rsidRPr="0086605D">
              <w:rPr>
                <w:rFonts w:asciiTheme="minorHAnsi" w:hAnsiTheme="minorHAnsi" w:cs="Arial"/>
                <w:b/>
                <w:color w:val="222222"/>
                <w:spacing w:val="0"/>
                <w:sz w:val="20"/>
                <w:lang w:val="en-GB" w:eastAsia="nl-NL"/>
              </w:rPr>
              <w:t>Incentives and Mark-ups</w:t>
            </w:r>
          </w:p>
        </w:tc>
        <w:tc>
          <w:tcPr>
            <w:tcW w:w="1256"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n/a</w:t>
            </w:r>
          </w:p>
        </w:tc>
        <w:tc>
          <w:tcPr>
            <w:tcW w:w="3191"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n/a</w:t>
            </w:r>
          </w:p>
        </w:tc>
        <w:tc>
          <w:tcPr>
            <w:tcW w:w="2340"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n/a</w:t>
            </w:r>
          </w:p>
        </w:tc>
      </w:tr>
      <w:tr w:rsidR="000D76CB" w:rsidRPr="00C54CEB" w:rsidTr="000D76CB">
        <w:trPr>
          <w:jc w:val="center"/>
        </w:trPr>
        <w:tc>
          <w:tcPr>
            <w:tcW w:w="1604"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kopf"/>
              <w:spacing w:before="0" w:after="0"/>
              <w:jc w:val="center"/>
              <w:rPr>
                <w:rFonts w:asciiTheme="minorHAnsi" w:hAnsiTheme="minorHAnsi" w:cs="Arial"/>
                <w:b/>
                <w:color w:val="222222"/>
                <w:spacing w:val="0"/>
                <w:sz w:val="20"/>
                <w:lang w:val="en-GB" w:eastAsia="nl-NL"/>
              </w:rPr>
            </w:pPr>
            <w:r w:rsidRPr="0086605D">
              <w:rPr>
                <w:rFonts w:asciiTheme="minorHAnsi" w:hAnsiTheme="minorHAnsi" w:cs="Arial"/>
                <w:b/>
                <w:color w:val="222222"/>
                <w:spacing w:val="0"/>
                <w:sz w:val="20"/>
                <w:lang w:val="en-GB" w:eastAsia="nl-NL"/>
              </w:rPr>
              <w:t>Performance regime</w:t>
            </w:r>
          </w:p>
        </w:tc>
        <w:tc>
          <w:tcPr>
            <w:tcW w:w="1256" w:type="dxa"/>
            <w:tcBorders>
              <w:top w:val="single" w:sz="4" w:space="0" w:color="auto"/>
              <w:left w:val="single" w:sz="4" w:space="0" w:color="auto"/>
              <w:bottom w:val="single" w:sz="4" w:space="0" w:color="auto"/>
              <w:right w:val="single" w:sz="4" w:space="0" w:color="auto"/>
            </w:tcBorders>
            <w:vAlign w:val="center"/>
            <w:hideMark/>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r w:rsidRPr="0086605D">
              <w:rPr>
                <w:rFonts w:asciiTheme="minorHAnsi" w:hAnsiTheme="minorHAnsi" w:cs="Arial"/>
                <w:color w:val="222222"/>
                <w:sz w:val="20"/>
                <w:lang w:val="en-GB" w:eastAsia="nl-NL"/>
              </w:rPr>
              <w:t>Regime came into force as per 01/01/2017</w:t>
            </w:r>
          </w:p>
        </w:tc>
        <w:tc>
          <w:tcPr>
            <w:tcW w:w="3191" w:type="dxa"/>
            <w:tcBorders>
              <w:top w:val="single" w:sz="4" w:space="0" w:color="auto"/>
              <w:left w:val="single" w:sz="4" w:space="0" w:color="auto"/>
              <w:bottom w:val="single" w:sz="4" w:space="0" w:color="auto"/>
              <w:right w:val="single" w:sz="4" w:space="0" w:color="auto"/>
            </w:tcBorders>
            <w:vAlign w:val="center"/>
          </w:tcPr>
          <w:p w:rsidR="000D76CB" w:rsidRPr="0086605D" w:rsidRDefault="000D76CB" w:rsidP="0086605D">
            <w:pPr>
              <w:pStyle w:val="Tabellentextrechts"/>
              <w:spacing w:before="0" w:after="0"/>
              <w:rPr>
                <w:rFonts w:asciiTheme="minorHAnsi" w:hAnsiTheme="minorHAnsi" w:cs="Arial"/>
                <w:color w:val="222222"/>
                <w:sz w:val="20"/>
                <w:lang w:val="en-GB" w:eastAsia="nl-NL"/>
              </w:rPr>
            </w:pPr>
          </w:p>
        </w:tc>
        <w:tc>
          <w:tcPr>
            <w:tcW w:w="2340" w:type="dxa"/>
            <w:tcBorders>
              <w:top w:val="single" w:sz="4" w:space="0" w:color="auto"/>
              <w:left w:val="single" w:sz="4" w:space="0" w:color="auto"/>
              <w:bottom w:val="single" w:sz="4" w:space="0" w:color="auto"/>
              <w:right w:val="single" w:sz="4" w:space="0" w:color="auto"/>
            </w:tcBorders>
            <w:vAlign w:val="center"/>
          </w:tcPr>
          <w:p w:rsidR="000D76CB" w:rsidRPr="0086605D" w:rsidRDefault="000D76CB" w:rsidP="0086605D">
            <w:pPr>
              <w:pStyle w:val="Tabellentextrechts"/>
              <w:spacing w:before="0" w:after="0"/>
              <w:jc w:val="center"/>
              <w:rPr>
                <w:rFonts w:asciiTheme="minorHAnsi" w:hAnsiTheme="minorHAnsi" w:cs="Arial"/>
                <w:color w:val="222222"/>
                <w:sz w:val="20"/>
                <w:lang w:val="en-GB" w:eastAsia="nl-NL"/>
              </w:rPr>
            </w:pPr>
          </w:p>
        </w:tc>
      </w:tr>
    </w:tbl>
    <w:p w:rsidR="000D76CB" w:rsidRPr="0086605D" w:rsidRDefault="000D76CB" w:rsidP="0086605D">
      <w:pPr>
        <w:rPr>
          <w:b/>
          <w:lang w:val="en-GB"/>
        </w:rPr>
      </w:pPr>
    </w:p>
    <w:p w:rsidR="00F76A2F" w:rsidRDefault="00F76A2F">
      <w:pPr>
        <w:rPr>
          <w:rFonts w:asciiTheme="minorHAnsi" w:hAnsiTheme="minorHAnsi"/>
          <w:b/>
          <w:bCs/>
          <w:kern w:val="32"/>
          <w:sz w:val="22"/>
          <w:szCs w:val="22"/>
          <w:lang w:val="en-GB"/>
        </w:rPr>
      </w:pPr>
      <w:bookmarkStart w:id="39" w:name="_Toc496279020"/>
      <w:r>
        <w:rPr>
          <w:rFonts w:asciiTheme="minorHAnsi" w:hAnsiTheme="minorHAnsi"/>
          <w:sz w:val="22"/>
          <w:szCs w:val="22"/>
          <w:lang w:val="en-GB"/>
        </w:rPr>
        <w:br w:type="page"/>
      </w:r>
    </w:p>
    <w:p w:rsidR="00C15D0C" w:rsidRPr="000A6B0A" w:rsidRDefault="00C15D0C" w:rsidP="00C15D0C">
      <w:pPr>
        <w:pStyle w:val="Titre1"/>
        <w:numPr>
          <w:ilvl w:val="1"/>
          <w:numId w:val="13"/>
        </w:numPr>
        <w:spacing w:line="276" w:lineRule="auto"/>
        <w:jc w:val="both"/>
        <w:rPr>
          <w:rFonts w:asciiTheme="minorHAnsi" w:hAnsiTheme="minorHAnsi"/>
          <w:i/>
          <w:sz w:val="28"/>
          <w:szCs w:val="22"/>
          <w:lang w:val="en-GB"/>
        </w:rPr>
      </w:pPr>
      <w:r>
        <w:rPr>
          <w:rFonts w:asciiTheme="minorHAnsi" w:hAnsiTheme="minorHAnsi"/>
          <w:sz w:val="22"/>
          <w:szCs w:val="22"/>
          <w:lang w:val="en-GB"/>
        </w:rPr>
        <w:lastRenderedPageBreak/>
        <w:t>Bulgaria</w:t>
      </w:r>
      <w:bookmarkEnd w:id="39"/>
    </w:p>
    <w:p w:rsidR="00C15D0C" w:rsidRDefault="00C15D0C" w:rsidP="00C15D0C">
      <w:pPr>
        <w:rPr>
          <w:lang w:val="en-GB"/>
        </w:rPr>
      </w:pPr>
    </w:p>
    <w:p w:rsidR="00C15D0C" w:rsidRDefault="00C15D0C" w:rsidP="0086605D">
      <w:pPr>
        <w:spacing w:line="276" w:lineRule="auto"/>
        <w:jc w:val="both"/>
        <w:rPr>
          <w:rFonts w:asciiTheme="minorHAnsi" w:hAnsiTheme="minorHAnsi"/>
          <w:sz w:val="22"/>
          <w:szCs w:val="22"/>
          <w:lang w:val="en-GB"/>
        </w:rPr>
      </w:pPr>
      <w:r w:rsidRPr="00C15D0C">
        <w:rPr>
          <w:rFonts w:asciiTheme="minorHAnsi" w:hAnsiTheme="minorHAnsi"/>
          <w:sz w:val="22"/>
          <w:szCs w:val="22"/>
          <w:lang w:val="en-GB"/>
        </w:rPr>
        <w:t>The infrastructure charge is a variable charge which depends on the actual kilometers travelled on the railway infrastructure and depends on the gross weight of the train</w:t>
      </w:r>
      <w:r w:rsidR="004D27D3">
        <w:rPr>
          <w:rFonts w:asciiTheme="minorHAnsi" w:hAnsiTheme="minorHAnsi"/>
          <w:sz w:val="22"/>
          <w:szCs w:val="22"/>
          <w:lang w:val="en-GB"/>
        </w:rPr>
        <w:t>. It is paid to the IM</w:t>
      </w:r>
      <w:r w:rsidRPr="00C15D0C">
        <w:rPr>
          <w:rFonts w:asciiTheme="minorHAnsi" w:hAnsiTheme="minorHAnsi"/>
          <w:sz w:val="22"/>
          <w:szCs w:val="22"/>
          <w:lang w:val="en-GB"/>
        </w:rPr>
        <w:t xml:space="preserve"> for the costs incurred directly as a result of operation of the train service.</w:t>
      </w:r>
    </w:p>
    <w:p w:rsidR="00C15D0C" w:rsidRPr="00C15D0C" w:rsidRDefault="00C15D0C" w:rsidP="0086605D">
      <w:pPr>
        <w:spacing w:line="276" w:lineRule="auto"/>
        <w:jc w:val="both"/>
        <w:rPr>
          <w:rFonts w:asciiTheme="minorHAnsi" w:hAnsiTheme="minorHAnsi"/>
          <w:sz w:val="22"/>
          <w:szCs w:val="22"/>
          <w:lang w:val="en-GB"/>
        </w:rPr>
      </w:pPr>
    </w:p>
    <w:p w:rsidR="00C15D0C" w:rsidRDefault="00C15D0C" w:rsidP="0086605D">
      <w:pPr>
        <w:spacing w:line="276" w:lineRule="auto"/>
        <w:jc w:val="both"/>
        <w:rPr>
          <w:rFonts w:asciiTheme="minorHAnsi" w:hAnsiTheme="minorHAnsi"/>
          <w:sz w:val="22"/>
          <w:szCs w:val="22"/>
          <w:lang w:val="en-GB"/>
        </w:rPr>
      </w:pPr>
      <w:r w:rsidRPr="00C15D0C">
        <w:rPr>
          <w:rFonts w:asciiTheme="minorHAnsi" w:hAnsiTheme="minorHAnsi"/>
          <w:sz w:val="22"/>
          <w:szCs w:val="22"/>
          <w:lang w:val="en-GB"/>
        </w:rPr>
        <w:t>The charge for operating on the railway infrastructure does not depend on the type of the trains and is the same for all categories of railway lines of the railway infrastructure. Preferential charges for combined transport with block trains and for carriage of freight cars by railway transport are provided for.</w:t>
      </w:r>
    </w:p>
    <w:p w:rsidR="00C15D0C" w:rsidRPr="00C15D0C" w:rsidRDefault="00C15D0C" w:rsidP="0086605D">
      <w:pPr>
        <w:spacing w:line="276" w:lineRule="auto"/>
        <w:jc w:val="both"/>
        <w:rPr>
          <w:rFonts w:asciiTheme="minorHAnsi" w:hAnsiTheme="minorHAnsi"/>
          <w:sz w:val="22"/>
          <w:szCs w:val="22"/>
          <w:lang w:val="en-GB"/>
        </w:rPr>
      </w:pPr>
    </w:p>
    <w:p w:rsidR="00C15D0C" w:rsidRDefault="00C15D0C" w:rsidP="0086605D">
      <w:pPr>
        <w:spacing w:line="276" w:lineRule="auto"/>
        <w:jc w:val="both"/>
        <w:rPr>
          <w:lang w:val="en-GB"/>
        </w:rPr>
      </w:pPr>
      <w:r w:rsidRPr="00C15D0C">
        <w:rPr>
          <w:rFonts w:asciiTheme="minorHAnsi" w:hAnsiTheme="minorHAnsi"/>
          <w:sz w:val="22"/>
          <w:szCs w:val="22"/>
          <w:lang w:val="en-GB"/>
        </w:rPr>
        <w:t>The rates are: 0.7902 BGN = 0.404 EUR per train-kilometer and 0.0025 BGN = 0.0013 EUR per gross tonne-kilometer; Charge for realized gross tonne-kilometers of combined transport with block-trains – 0.0023 BGN = 0.0012 EUR per gross tonne-kilometer, irrespective of the category and of the type of the railway line. Charge for the realized gross tonne-kilometers from the carriage of freight cars with block-trains – 0.0018 BGN = 0.0009 EUR per gross tonne-kilometer, irrespective of the category and of the type of the railway line. Charge for the realized train-kilometers from combined transport with block-trains – 0.7112 BGN = 0.2828 EUR per train-kilometer, irrespective of the category and of the type of the railway line. Charge for the realized train-kilometers from the carriage of freight cars with block-trains – 0,5531 BGN = 0.2828 EUR per train-kilometer irre</w:t>
      </w:r>
      <w:r>
        <w:rPr>
          <w:rFonts w:asciiTheme="minorHAnsi" w:hAnsiTheme="minorHAnsi"/>
          <w:sz w:val="22"/>
          <w:szCs w:val="22"/>
          <w:lang w:val="en-GB"/>
        </w:rPr>
        <w:t xml:space="preserve">spective of the category and of </w:t>
      </w:r>
      <w:r w:rsidRPr="00C15D0C">
        <w:rPr>
          <w:rFonts w:asciiTheme="minorHAnsi" w:hAnsiTheme="minorHAnsi"/>
          <w:sz w:val="22"/>
          <w:szCs w:val="22"/>
          <w:lang w:val="en-GB"/>
        </w:rPr>
        <w:t>the type of the railway line</w:t>
      </w:r>
      <w:r w:rsidRPr="00C15D0C">
        <w:rPr>
          <w:lang w:val="en-GB"/>
        </w:rPr>
        <w:t>.</w:t>
      </w:r>
    </w:p>
    <w:p w:rsidR="00C15D0C" w:rsidRPr="00C15D0C" w:rsidRDefault="00C15D0C" w:rsidP="00C15D0C">
      <w:pPr>
        <w:jc w:val="both"/>
        <w:rPr>
          <w:rFonts w:asciiTheme="minorHAnsi" w:hAnsiTheme="minorHAnsi"/>
          <w:sz w:val="22"/>
          <w:szCs w:val="22"/>
          <w:lang w:val="en-GB"/>
        </w:rPr>
      </w:pPr>
    </w:p>
    <w:p w:rsidR="00C15D0C" w:rsidRDefault="00C15D0C" w:rsidP="00C15D0C">
      <w:pPr>
        <w:rPr>
          <w:lang w:val="en-GB"/>
        </w:rPr>
      </w:pPr>
    </w:p>
    <w:tbl>
      <w:tblPr>
        <w:tblW w:w="7163" w:type="dxa"/>
        <w:jc w:val="center"/>
        <w:tblInd w:w="250" w:type="dxa"/>
        <w:tblLook w:val="04A0" w:firstRow="1" w:lastRow="0" w:firstColumn="1" w:lastColumn="0" w:noHBand="0" w:noVBand="1"/>
      </w:tblPr>
      <w:tblGrid>
        <w:gridCol w:w="1443"/>
        <w:gridCol w:w="1456"/>
        <w:gridCol w:w="2563"/>
        <w:gridCol w:w="1701"/>
      </w:tblGrid>
      <w:tr w:rsidR="00C15D0C" w:rsidTr="0086605D">
        <w:trPr>
          <w:trHeight w:val="580"/>
          <w:jc w:val="center"/>
        </w:trPr>
        <w:tc>
          <w:tcPr>
            <w:tcW w:w="1443" w:type="dxa"/>
            <w:tcBorders>
              <w:top w:val="single" w:sz="8" w:space="0" w:color="auto"/>
              <w:left w:val="single" w:sz="8" w:space="0" w:color="auto"/>
              <w:bottom w:val="single" w:sz="8"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56"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563"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1701" w:type="dxa"/>
            <w:tcBorders>
              <w:top w:val="single" w:sz="8" w:space="0" w:color="auto"/>
              <w:left w:val="nil"/>
              <w:bottom w:val="single" w:sz="8"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C15D0C" w:rsidTr="0086605D">
        <w:trPr>
          <w:trHeight w:val="1185"/>
          <w:jc w:val="center"/>
        </w:trPr>
        <w:tc>
          <w:tcPr>
            <w:tcW w:w="1443" w:type="dxa"/>
            <w:tcBorders>
              <w:top w:val="single" w:sz="8" w:space="0" w:color="auto"/>
              <w:left w:val="single" w:sz="8" w:space="0" w:color="auto"/>
              <w:bottom w:val="single" w:sz="8" w:space="0" w:color="auto"/>
              <w:right w:val="single" w:sz="8"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en-US" w:bidi="en-US"/>
              </w:rPr>
            </w:pPr>
            <w:r w:rsidRPr="0086605D">
              <w:rPr>
                <w:rFonts w:asciiTheme="minorHAnsi" w:hAnsiTheme="minorHAnsi"/>
                <w:b/>
                <w:color w:val="222222"/>
                <w:sz w:val="20"/>
                <w:szCs w:val="20"/>
                <w:lang w:val="en-GB"/>
              </w:rPr>
              <w:t>Charge for the realized train-kilometers</w:t>
            </w:r>
          </w:p>
        </w:tc>
        <w:tc>
          <w:tcPr>
            <w:tcW w:w="1456"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BGN/train-km</w:t>
            </w:r>
          </w:p>
        </w:tc>
        <w:tc>
          <w:tcPr>
            <w:tcW w:w="2563" w:type="dxa"/>
            <w:tcBorders>
              <w:top w:val="single" w:sz="8" w:space="0" w:color="auto"/>
              <w:left w:val="nil"/>
              <w:bottom w:val="single" w:sz="8" w:space="0" w:color="auto"/>
              <w:right w:val="single" w:sz="8" w:space="0" w:color="auto"/>
            </w:tcBorders>
            <w:vAlign w:val="center"/>
            <w:hideMark/>
          </w:tcPr>
          <w:p w:rsidR="00C15D0C" w:rsidRPr="00C15D0C" w:rsidRDefault="00C15D0C">
            <w:pPr>
              <w:rPr>
                <w:rFonts w:asciiTheme="minorHAnsi" w:hAnsiTheme="minorHAnsi" w:cs="Times New Roman"/>
                <w:color w:val="222222"/>
                <w:sz w:val="20"/>
                <w:szCs w:val="20"/>
                <w:lang w:val="en-GB"/>
              </w:rPr>
            </w:pPr>
            <w:r w:rsidRPr="00C15D0C">
              <w:rPr>
                <w:rFonts w:asciiTheme="minorHAnsi" w:hAnsiTheme="minorHAnsi"/>
                <w:color w:val="222222"/>
                <w:sz w:val="20"/>
                <w:szCs w:val="20"/>
                <w:lang w:val="en-GB"/>
              </w:rPr>
              <w:t xml:space="preserve">None </w:t>
            </w:r>
          </w:p>
          <w:p w:rsidR="00C15D0C" w:rsidRPr="00C15D0C" w:rsidRDefault="00C15D0C">
            <w:pP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Market segmentation; there are discounts for combined transport and for the carriage of freight cars with block-trains</w:t>
            </w:r>
          </w:p>
        </w:tc>
        <w:tc>
          <w:tcPr>
            <w:tcW w:w="1701"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the directly incurred costs</w:t>
            </w:r>
          </w:p>
        </w:tc>
      </w:tr>
      <w:tr w:rsidR="00C15D0C" w:rsidTr="0086605D">
        <w:trPr>
          <w:trHeight w:val="1185"/>
          <w:jc w:val="center"/>
        </w:trPr>
        <w:tc>
          <w:tcPr>
            <w:tcW w:w="1443" w:type="dxa"/>
            <w:tcBorders>
              <w:top w:val="single" w:sz="8" w:space="0" w:color="auto"/>
              <w:left w:val="single" w:sz="8" w:space="0" w:color="auto"/>
              <w:bottom w:val="single" w:sz="8" w:space="0" w:color="auto"/>
              <w:right w:val="single" w:sz="8"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en-US" w:bidi="en-US"/>
              </w:rPr>
            </w:pPr>
            <w:r w:rsidRPr="0086605D">
              <w:rPr>
                <w:rFonts w:asciiTheme="minorHAnsi" w:hAnsiTheme="minorHAnsi"/>
                <w:b/>
                <w:color w:val="222222"/>
                <w:sz w:val="20"/>
                <w:szCs w:val="20"/>
                <w:lang w:val="en-GB"/>
              </w:rPr>
              <w:t>Charge for realized gross tonne-kilometers</w:t>
            </w:r>
          </w:p>
        </w:tc>
        <w:tc>
          <w:tcPr>
            <w:tcW w:w="1456"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BGN/gross tonne-km</w:t>
            </w:r>
          </w:p>
        </w:tc>
        <w:tc>
          <w:tcPr>
            <w:tcW w:w="2563" w:type="dxa"/>
            <w:tcBorders>
              <w:top w:val="single" w:sz="8" w:space="0" w:color="auto"/>
              <w:left w:val="nil"/>
              <w:bottom w:val="single" w:sz="8" w:space="0" w:color="auto"/>
              <w:right w:val="single" w:sz="8" w:space="0" w:color="auto"/>
            </w:tcBorders>
            <w:vAlign w:val="center"/>
            <w:hideMark/>
          </w:tcPr>
          <w:p w:rsidR="00C15D0C" w:rsidRPr="00C15D0C" w:rsidRDefault="00C15D0C">
            <w:pPr>
              <w:rPr>
                <w:rFonts w:asciiTheme="minorHAnsi" w:hAnsiTheme="minorHAnsi" w:cs="Times New Roman"/>
                <w:color w:val="222222"/>
                <w:sz w:val="20"/>
                <w:szCs w:val="20"/>
                <w:lang w:val="en-GB"/>
              </w:rPr>
            </w:pPr>
            <w:r w:rsidRPr="00C15D0C">
              <w:rPr>
                <w:rFonts w:asciiTheme="minorHAnsi" w:hAnsiTheme="minorHAnsi"/>
                <w:color w:val="222222"/>
                <w:sz w:val="20"/>
                <w:szCs w:val="20"/>
                <w:lang w:val="en-GB"/>
              </w:rPr>
              <w:t xml:space="preserve">None </w:t>
            </w:r>
          </w:p>
          <w:p w:rsidR="00C15D0C" w:rsidRPr="00C15D0C" w:rsidRDefault="00C15D0C">
            <w:pP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Market segmentation; there are discounts for combined transport and for the carriage of freight cars with block-trains</w:t>
            </w:r>
          </w:p>
        </w:tc>
        <w:tc>
          <w:tcPr>
            <w:tcW w:w="1701"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the directly incurred costs</w:t>
            </w:r>
          </w:p>
        </w:tc>
      </w:tr>
      <w:tr w:rsidR="00C15D0C" w:rsidRPr="00C54CEB" w:rsidTr="0086605D">
        <w:trPr>
          <w:trHeight w:val="1185"/>
          <w:jc w:val="center"/>
        </w:trPr>
        <w:tc>
          <w:tcPr>
            <w:tcW w:w="1443" w:type="dxa"/>
            <w:tcBorders>
              <w:top w:val="single" w:sz="8" w:space="0" w:color="auto"/>
              <w:left w:val="single" w:sz="8" w:space="0" w:color="auto"/>
              <w:bottom w:val="single" w:sz="8" w:space="0" w:color="auto"/>
              <w:right w:val="single" w:sz="8"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en-US" w:bidi="en-US"/>
              </w:rPr>
            </w:pPr>
            <w:r w:rsidRPr="0086605D">
              <w:rPr>
                <w:rFonts w:asciiTheme="minorHAnsi" w:hAnsiTheme="minorHAnsi"/>
                <w:b/>
                <w:color w:val="222222"/>
                <w:sz w:val="20"/>
                <w:szCs w:val="20"/>
                <w:lang w:val="en-GB"/>
              </w:rPr>
              <w:t>Charge for the requested and unused capacity</w:t>
            </w:r>
          </w:p>
        </w:tc>
        <w:tc>
          <w:tcPr>
            <w:tcW w:w="1456"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BGN/train-km</w:t>
            </w:r>
          </w:p>
        </w:tc>
        <w:tc>
          <w:tcPr>
            <w:tcW w:w="2563" w:type="dxa"/>
            <w:tcBorders>
              <w:top w:val="single" w:sz="8" w:space="0" w:color="auto"/>
              <w:left w:val="nil"/>
              <w:bottom w:val="single" w:sz="8" w:space="0" w:color="auto"/>
              <w:right w:val="single" w:sz="8" w:space="0" w:color="auto"/>
            </w:tcBorders>
            <w:vAlign w:val="center"/>
            <w:hideMark/>
          </w:tcPr>
          <w:p w:rsidR="00C15D0C" w:rsidRPr="00C15D0C" w:rsidRDefault="00C15D0C">
            <w:pPr>
              <w:rPr>
                <w:rFonts w:asciiTheme="minorHAnsi" w:hAnsiTheme="minorHAnsi" w:cs="Times New Roman"/>
                <w:color w:val="222222"/>
                <w:sz w:val="20"/>
                <w:szCs w:val="20"/>
                <w:lang w:val="en-GB"/>
              </w:rPr>
            </w:pPr>
            <w:r w:rsidRPr="00C15D0C">
              <w:rPr>
                <w:rFonts w:asciiTheme="minorHAnsi" w:hAnsiTheme="minorHAnsi"/>
                <w:color w:val="222222"/>
                <w:sz w:val="20"/>
                <w:szCs w:val="20"/>
                <w:lang w:val="en-GB"/>
              </w:rPr>
              <w:t xml:space="preserve">None </w:t>
            </w:r>
          </w:p>
          <w:p w:rsidR="00C15D0C" w:rsidRPr="00C15D0C" w:rsidRDefault="00C15D0C">
            <w:pP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Market segmentation; there are discounts for combined transport and for the carriage of freight cars with block-trains</w:t>
            </w:r>
          </w:p>
        </w:tc>
        <w:tc>
          <w:tcPr>
            <w:tcW w:w="1701" w:type="dxa"/>
            <w:tcBorders>
              <w:top w:val="single" w:sz="8" w:space="0" w:color="auto"/>
              <w:left w:val="nil"/>
              <w:bottom w:val="single" w:sz="8" w:space="0" w:color="auto"/>
              <w:right w:val="single" w:sz="8" w:space="0" w:color="auto"/>
            </w:tcBorders>
            <w:vAlign w:val="center"/>
          </w:tcPr>
          <w:p w:rsidR="00C15D0C" w:rsidRPr="00C15D0C" w:rsidRDefault="00C15D0C">
            <w:pPr>
              <w:jc w:val="center"/>
              <w:rPr>
                <w:rFonts w:asciiTheme="minorHAnsi" w:hAnsiTheme="minorHAnsi" w:cs="Times New Roman"/>
                <w:color w:val="222222"/>
                <w:sz w:val="20"/>
                <w:szCs w:val="20"/>
                <w:lang w:val="en-GB" w:eastAsia="en-US" w:bidi="en-US"/>
              </w:rPr>
            </w:pPr>
          </w:p>
        </w:tc>
      </w:tr>
      <w:tr w:rsidR="00C15D0C" w:rsidRPr="00C54CEB" w:rsidTr="0086605D">
        <w:trPr>
          <w:trHeight w:val="1185"/>
          <w:jc w:val="center"/>
        </w:trPr>
        <w:tc>
          <w:tcPr>
            <w:tcW w:w="1443" w:type="dxa"/>
            <w:tcBorders>
              <w:top w:val="single" w:sz="8" w:space="0" w:color="auto"/>
              <w:left w:val="single" w:sz="8" w:space="0" w:color="auto"/>
              <w:bottom w:val="single" w:sz="8" w:space="0" w:color="auto"/>
              <w:right w:val="single" w:sz="8" w:space="0" w:color="auto"/>
            </w:tcBorders>
            <w:vAlign w:val="center"/>
            <w:hideMark/>
          </w:tcPr>
          <w:p w:rsidR="00C15D0C" w:rsidRPr="0086605D" w:rsidRDefault="004D27D3">
            <w:pPr>
              <w:jc w:val="center"/>
              <w:rPr>
                <w:rFonts w:asciiTheme="minorHAnsi" w:hAnsiTheme="minorHAnsi" w:cs="Times New Roman"/>
                <w:b/>
                <w:color w:val="222222"/>
                <w:sz w:val="20"/>
                <w:szCs w:val="20"/>
                <w:lang w:val="en-GB" w:eastAsia="en-US" w:bidi="en-US"/>
              </w:rPr>
            </w:pPr>
            <w:r w:rsidRPr="0086605D">
              <w:rPr>
                <w:rFonts w:asciiTheme="minorHAnsi" w:hAnsiTheme="minorHAnsi"/>
                <w:b/>
                <w:color w:val="222222"/>
                <w:sz w:val="20"/>
                <w:szCs w:val="20"/>
                <w:lang w:val="en-GB"/>
              </w:rPr>
              <w:t xml:space="preserve">Charge </w:t>
            </w:r>
            <w:r w:rsidR="00C15D0C" w:rsidRPr="0086605D">
              <w:rPr>
                <w:rFonts w:asciiTheme="minorHAnsi" w:hAnsiTheme="minorHAnsi"/>
                <w:b/>
                <w:sz w:val="20"/>
                <w:szCs w:val="20"/>
                <w:lang w:val="en-GB"/>
              </w:rPr>
              <w:t xml:space="preserve">for electricity distribution </w:t>
            </w:r>
            <w:r w:rsidR="00C15D0C" w:rsidRPr="0086605D">
              <w:rPr>
                <w:rFonts w:asciiTheme="minorHAnsi" w:hAnsiTheme="minorHAnsi"/>
                <w:b/>
                <w:color w:val="222222"/>
                <w:sz w:val="20"/>
                <w:szCs w:val="20"/>
                <w:lang w:val="en-GB"/>
              </w:rPr>
              <w:t>in the amount of 146.73 BGN/МWh/</w:t>
            </w:r>
          </w:p>
        </w:tc>
        <w:tc>
          <w:tcPr>
            <w:tcW w:w="1456"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BGN/МWh/</w:t>
            </w:r>
          </w:p>
        </w:tc>
        <w:tc>
          <w:tcPr>
            <w:tcW w:w="2563" w:type="dxa"/>
            <w:tcBorders>
              <w:top w:val="single" w:sz="8" w:space="0" w:color="auto"/>
              <w:left w:val="nil"/>
              <w:bottom w:val="single" w:sz="8" w:space="0" w:color="auto"/>
              <w:right w:val="single" w:sz="8" w:space="0" w:color="auto"/>
            </w:tcBorders>
            <w:vAlign w:val="center"/>
            <w:hideMark/>
          </w:tcPr>
          <w:p w:rsidR="00C15D0C" w:rsidRPr="00C15D0C" w:rsidRDefault="00C15D0C">
            <w:pPr>
              <w:rPr>
                <w:rFonts w:asciiTheme="minorHAnsi" w:hAnsiTheme="minorHAnsi" w:cs="Times New Roman"/>
                <w:color w:val="222222"/>
                <w:sz w:val="20"/>
                <w:szCs w:val="20"/>
                <w:lang w:val="en-GB"/>
              </w:rPr>
            </w:pPr>
            <w:r w:rsidRPr="00C15D0C">
              <w:rPr>
                <w:rFonts w:asciiTheme="minorHAnsi" w:hAnsiTheme="minorHAnsi"/>
                <w:color w:val="222222"/>
                <w:sz w:val="20"/>
                <w:szCs w:val="20"/>
                <w:lang w:val="en-GB"/>
              </w:rPr>
              <w:t xml:space="preserve">None </w:t>
            </w:r>
          </w:p>
          <w:p w:rsidR="00C15D0C" w:rsidRPr="00C15D0C" w:rsidRDefault="00C15D0C">
            <w:pP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Market segmentation</w:t>
            </w:r>
          </w:p>
        </w:tc>
        <w:tc>
          <w:tcPr>
            <w:tcW w:w="1701" w:type="dxa"/>
            <w:tcBorders>
              <w:top w:val="single" w:sz="8" w:space="0" w:color="auto"/>
              <w:left w:val="nil"/>
              <w:bottom w:val="single" w:sz="8"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color w:val="222222"/>
                <w:sz w:val="20"/>
                <w:szCs w:val="20"/>
                <w:lang w:val="en-GB"/>
              </w:rPr>
              <w:t>Full costs of the electricity distribution activity</w:t>
            </w:r>
          </w:p>
        </w:tc>
      </w:tr>
      <w:tr w:rsidR="00C15D0C" w:rsidRPr="00C54CEB" w:rsidTr="0086605D">
        <w:trPr>
          <w:trHeight w:val="1185"/>
          <w:jc w:val="center"/>
        </w:trPr>
        <w:tc>
          <w:tcPr>
            <w:tcW w:w="1443" w:type="dxa"/>
            <w:tcBorders>
              <w:top w:val="single" w:sz="8" w:space="0" w:color="auto"/>
              <w:left w:val="single" w:sz="8" w:space="0" w:color="auto"/>
              <w:bottom w:val="single" w:sz="4" w:space="0" w:color="auto"/>
              <w:right w:val="single" w:sz="8"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en-US" w:bidi="en-US"/>
              </w:rPr>
            </w:pPr>
            <w:r w:rsidRPr="0086605D">
              <w:rPr>
                <w:rFonts w:asciiTheme="minorHAnsi" w:hAnsiTheme="minorHAnsi"/>
                <w:b/>
                <w:color w:val="222222"/>
                <w:sz w:val="20"/>
                <w:szCs w:val="20"/>
                <w:lang w:val="en-GB"/>
              </w:rPr>
              <w:lastRenderedPageBreak/>
              <w:t>Performance scheme</w:t>
            </w:r>
          </w:p>
        </w:tc>
        <w:tc>
          <w:tcPr>
            <w:tcW w:w="1456" w:type="dxa"/>
            <w:tcBorders>
              <w:top w:val="single" w:sz="8" w:space="0" w:color="auto"/>
              <w:left w:val="nil"/>
              <w:bottom w:val="single" w:sz="4" w:space="0" w:color="auto"/>
              <w:right w:val="single" w:sz="8"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en-US" w:bidi="en-US"/>
              </w:rPr>
            </w:pPr>
            <w:r w:rsidRPr="00C15D0C">
              <w:rPr>
                <w:rFonts w:asciiTheme="minorHAnsi" w:hAnsiTheme="minorHAnsi"/>
                <w:sz w:val="20"/>
                <w:szCs w:val="20"/>
                <w:lang w:val="en-GB"/>
              </w:rPr>
              <w:t>BGN/minute</w:t>
            </w:r>
          </w:p>
        </w:tc>
        <w:tc>
          <w:tcPr>
            <w:tcW w:w="2563" w:type="dxa"/>
            <w:tcBorders>
              <w:top w:val="single" w:sz="8" w:space="0" w:color="auto"/>
              <w:left w:val="nil"/>
              <w:bottom w:val="single" w:sz="4" w:space="0" w:color="auto"/>
              <w:right w:val="single" w:sz="8" w:space="0" w:color="auto"/>
            </w:tcBorders>
            <w:vAlign w:val="center"/>
            <w:hideMark/>
          </w:tcPr>
          <w:p w:rsidR="00C15D0C" w:rsidRPr="00C15D0C" w:rsidRDefault="00C15D0C">
            <w:pPr>
              <w:rPr>
                <w:rFonts w:asciiTheme="minorHAnsi" w:hAnsiTheme="minorHAnsi" w:cs="Times New Roman"/>
                <w:color w:val="222222"/>
                <w:sz w:val="20"/>
                <w:szCs w:val="20"/>
                <w:lang w:val="en-GB" w:eastAsia="en-US" w:bidi="en-US"/>
              </w:rPr>
            </w:pPr>
            <w:r w:rsidRPr="00C15D0C">
              <w:rPr>
                <w:rFonts w:asciiTheme="minorHAnsi" w:hAnsiTheme="minorHAnsi"/>
                <w:sz w:val="20"/>
                <w:szCs w:val="20"/>
                <w:lang w:val="en-GB"/>
              </w:rPr>
              <w:t>1.40 BGN per minute delay for a freight train and 2.50 BGN per minute delay for a passenger train</w:t>
            </w:r>
          </w:p>
        </w:tc>
        <w:tc>
          <w:tcPr>
            <w:tcW w:w="1701" w:type="dxa"/>
            <w:tcBorders>
              <w:top w:val="single" w:sz="8" w:space="0" w:color="auto"/>
              <w:left w:val="nil"/>
              <w:bottom w:val="single" w:sz="4" w:space="0" w:color="auto"/>
              <w:right w:val="single" w:sz="8" w:space="0" w:color="auto"/>
            </w:tcBorders>
            <w:vAlign w:val="center"/>
          </w:tcPr>
          <w:p w:rsidR="00C15D0C" w:rsidRPr="00C15D0C" w:rsidRDefault="00C15D0C">
            <w:pPr>
              <w:jc w:val="center"/>
              <w:rPr>
                <w:rFonts w:asciiTheme="minorHAnsi" w:hAnsiTheme="minorHAnsi" w:cs="Times New Roman"/>
                <w:color w:val="222222"/>
                <w:sz w:val="20"/>
                <w:szCs w:val="20"/>
                <w:lang w:val="en-GB" w:eastAsia="en-US" w:bidi="en-US"/>
              </w:rPr>
            </w:pPr>
          </w:p>
        </w:tc>
      </w:tr>
    </w:tbl>
    <w:p w:rsidR="00C15D0C" w:rsidRPr="00C15D0C" w:rsidRDefault="00C15D0C" w:rsidP="00C15D0C">
      <w:pPr>
        <w:rPr>
          <w:lang w:val="en-GB"/>
        </w:rPr>
      </w:pPr>
      <w:r>
        <w:rPr>
          <w:lang w:val="en-GB"/>
        </w:rPr>
        <w:br w:type="page"/>
      </w:r>
    </w:p>
    <w:p w:rsidR="00C15D0C" w:rsidRPr="000A6B0A" w:rsidRDefault="00C15D0C" w:rsidP="00C15D0C">
      <w:pPr>
        <w:pStyle w:val="Titre1"/>
        <w:numPr>
          <w:ilvl w:val="1"/>
          <w:numId w:val="13"/>
        </w:numPr>
        <w:spacing w:line="276" w:lineRule="auto"/>
        <w:jc w:val="both"/>
        <w:rPr>
          <w:rFonts w:asciiTheme="minorHAnsi" w:hAnsiTheme="minorHAnsi"/>
          <w:sz w:val="22"/>
          <w:szCs w:val="22"/>
          <w:lang w:val="en-GB"/>
        </w:rPr>
      </w:pPr>
      <w:bookmarkStart w:id="40" w:name="_Toc461625127"/>
      <w:bookmarkStart w:id="41" w:name="_Toc461625229"/>
      <w:bookmarkStart w:id="42" w:name="_Toc496279021"/>
      <w:r w:rsidRPr="000A6B0A">
        <w:rPr>
          <w:rFonts w:asciiTheme="minorHAnsi" w:hAnsiTheme="minorHAnsi"/>
          <w:sz w:val="22"/>
          <w:szCs w:val="22"/>
          <w:lang w:val="en-GB"/>
        </w:rPr>
        <w:lastRenderedPageBreak/>
        <w:t>Croatia</w:t>
      </w:r>
      <w:bookmarkEnd w:id="40"/>
      <w:bookmarkEnd w:id="41"/>
      <w:bookmarkEnd w:id="42"/>
    </w:p>
    <w:p w:rsidR="00C15D0C" w:rsidRPr="000A6B0A" w:rsidRDefault="00C15D0C" w:rsidP="00C15D0C">
      <w:pPr>
        <w:rPr>
          <w:lang w:val="en-GB"/>
        </w:rPr>
      </w:pPr>
    </w:p>
    <w:p w:rsidR="004D27D3" w:rsidRDefault="004D27D3" w:rsidP="0086605D">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In Croatia charges for minimum package of access services are based on the costs directly incurred as a result of operating the train service and they are applied on non-discriminatory terms to all rail companies. Fee for minimum package of access services is calculated through a formula published in the network statement by the IM. Based on the formula every railway undertakings can calculate the cost of using rail infrastructure. </w:t>
      </w:r>
    </w:p>
    <w:p w:rsidR="00C15D0C" w:rsidRPr="000A6B0A" w:rsidRDefault="00C15D0C" w:rsidP="0086605D">
      <w:pPr>
        <w:spacing w:line="276" w:lineRule="auto"/>
        <w:jc w:val="both"/>
        <w:rPr>
          <w:rFonts w:asciiTheme="minorHAnsi" w:hAnsiTheme="minorHAnsi"/>
          <w:sz w:val="22"/>
          <w:szCs w:val="22"/>
          <w:lang w:val="en-GB"/>
        </w:rPr>
      </w:pP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Track access charges for the minimum access package are calculated considering:</w:t>
      </w: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the number of train kilometres preformed on certain line categories;</w:t>
      </w: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type of power car;</w:t>
      </w: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type of towing vehicle;</w:t>
      </w: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weighting of the line category;</w:t>
      </w: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coefficient of the power car category.</w:t>
      </w:r>
    </w:p>
    <w:p w:rsidR="00C15D0C" w:rsidRPr="000A6B0A" w:rsidRDefault="00C15D0C" w:rsidP="0086605D">
      <w:pPr>
        <w:spacing w:line="276" w:lineRule="auto"/>
        <w:jc w:val="both"/>
        <w:rPr>
          <w:rFonts w:asciiTheme="minorHAnsi" w:hAnsiTheme="minorHAnsi"/>
          <w:sz w:val="22"/>
          <w:szCs w:val="22"/>
          <w:lang w:val="en-GB"/>
        </w:rPr>
      </w:pP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calculation of charges for </w:t>
      </w:r>
      <w:r w:rsidR="004D27D3">
        <w:rPr>
          <w:rFonts w:asciiTheme="minorHAnsi" w:hAnsiTheme="minorHAnsi"/>
          <w:sz w:val="22"/>
          <w:szCs w:val="22"/>
          <w:lang w:val="en-GB"/>
        </w:rPr>
        <w:t xml:space="preserve">the </w:t>
      </w:r>
      <w:r w:rsidRPr="000A6B0A">
        <w:rPr>
          <w:rFonts w:asciiTheme="minorHAnsi" w:hAnsiTheme="minorHAnsi"/>
          <w:sz w:val="22"/>
          <w:szCs w:val="22"/>
          <w:lang w:val="en-GB"/>
        </w:rPr>
        <w:t>minimum access package takes into account the part of the cost which is directly incurred as a result of operating train service, in particular the part of the cost of maintenance and renewal and rail traffic management.</w:t>
      </w:r>
    </w:p>
    <w:p w:rsidR="00C15D0C" w:rsidRPr="000A6B0A" w:rsidRDefault="00C15D0C" w:rsidP="0086605D">
      <w:pPr>
        <w:spacing w:line="276" w:lineRule="auto"/>
        <w:jc w:val="both"/>
        <w:rPr>
          <w:rFonts w:asciiTheme="minorHAnsi" w:hAnsiTheme="minorHAnsi"/>
          <w:sz w:val="22"/>
          <w:szCs w:val="22"/>
          <w:lang w:val="en-GB"/>
        </w:rPr>
      </w:pP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calculation of charges for </w:t>
      </w:r>
      <w:r w:rsidR="004D27D3">
        <w:rPr>
          <w:rFonts w:asciiTheme="minorHAnsi" w:hAnsiTheme="minorHAnsi"/>
          <w:sz w:val="22"/>
          <w:szCs w:val="22"/>
          <w:lang w:val="en-GB"/>
        </w:rPr>
        <w:t xml:space="preserve">the </w:t>
      </w:r>
      <w:r w:rsidRPr="000A6B0A">
        <w:rPr>
          <w:rFonts w:asciiTheme="minorHAnsi" w:hAnsiTheme="minorHAnsi"/>
          <w:sz w:val="22"/>
          <w:szCs w:val="22"/>
          <w:lang w:val="en-GB"/>
        </w:rPr>
        <w:t xml:space="preserve">minimum access package </w:t>
      </w:r>
      <w:r w:rsidR="004D27D3">
        <w:rPr>
          <w:rFonts w:asciiTheme="minorHAnsi" w:hAnsiTheme="minorHAnsi"/>
          <w:sz w:val="22"/>
          <w:szCs w:val="22"/>
          <w:lang w:val="en-GB"/>
        </w:rPr>
        <w:t>does not</w:t>
      </w:r>
      <w:r w:rsidR="004D27D3" w:rsidRPr="000A6B0A">
        <w:rPr>
          <w:rFonts w:asciiTheme="minorHAnsi" w:hAnsiTheme="minorHAnsi"/>
          <w:sz w:val="22"/>
          <w:szCs w:val="22"/>
          <w:lang w:val="en-GB"/>
        </w:rPr>
        <w:t xml:space="preserve"> </w:t>
      </w:r>
      <w:r w:rsidRPr="000A6B0A">
        <w:rPr>
          <w:rFonts w:asciiTheme="minorHAnsi" w:hAnsiTheme="minorHAnsi"/>
          <w:sz w:val="22"/>
          <w:szCs w:val="22"/>
          <w:lang w:val="en-GB"/>
        </w:rPr>
        <w:t>include cost which are not directly incurred as a result of operating train service, in particular administration cost, financial cost and indirect cost.</w:t>
      </w:r>
    </w:p>
    <w:p w:rsidR="00C15D0C" w:rsidRPr="000A6B0A" w:rsidRDefault="00C15D0C" w:rsidP="0086605D">
      <w:pPr>
        <w:spacing w:line="276" w:lineRule="auto"/>
        <w:jc w:val="both"/>
        <w:rPr>
          <w:rFonts w:asciiTheme="minorHAnsi" w:hAnsiTheme="minorHAnsi"/>
          <w:sz w:val="22"/>
          <w:szCs w:val="22"/>
          <w:lang w:val="en-GB"/>
        </w:rPr>
      </w:pPr>
    </w:p>
    <w:p w:rsidR="00C15D0C" w:rsidRPr="000A6B0A" w:rsidRDefault="00C15D0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Charges depend on train km and they are different on the basis of </w:t>
      </w:r>
      <w:r w:rsidR="004D27D3">
        <w:rPr>
          <w:rFonts w:asciiTheme="minorHAnsi" w:hAnsiTheme="minorHAnsi"/>
          <w:sz w:val="22"/>
          <w:szCs w:val="22"/>
          <w:lang w:val="en-GB"/>
        </w:rPr>
        <w:t>six</w:t>
      </w:r>
      <w:r w:rsidR="004D27D3" w:rsidRPr="000A6B0A">
        <w:rPr>
          <w:rFonts w:asciiTheme="minorHAnsi" w:hAnsiTheme="minorHAnsi"/>
          <w:sz w:val="22"/>
          <w:szCs w:val="22"/>
          <w:lang w:val="en-GB"/>
        </w:rPr>
        <w:t xml:space="preserve"> </w:t>
      </w:r>
      <w:r w:rsidRPr="000A6B0A">
        <w:rPr>
          <w:rFonts w:asciiTheme="minorHAnsi" w:hAnsiTheme="minorHAnsi"/>
          <w:sz w:val="22"/>
          <w:szCs w:val="22"/>
          <w:lang w:val="en-GB"/>
        </w:rPr>
        <w:t>different line categories and weight of trains.</w:t>
      </w:r>
    </w:p>
    <w:p w:rsidR="00C15D0C" w:rsidRPr="000A6B0A" w:rsidRDefault="00C15D0C" w:rsidP="00C15D0C">
      <w:pPr>
        <w:jc w:val="both"/>
        <w:rPr>
          <w:rFonts w:asciiTheme="minorHAnsi" w:hAnsiTheme="minorHAnsi"/>
          <w:sz w:val="22"/>
          <w:szCs w:val="22"/>
          <w:lang w:val="en-GB"/>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443"/>
        <w:gridCol w:w="3004"/>
        <w:gridCol w:w="2340"/>
      </w:tblGrid>
      <w:tr w:rsidR="00C15D0C" w:rsidRPr="000A6B0A" w:rsidTr="00F64C2E">
        <w:trPr>
          <w:jc w:val="center"/>
        </w:trPr>
        <w:tc>
          <w:tcPr>
            <w:tcW w:w="1604" w:type="dxa"/>
            <w:shd w:val="pct50" w:color="auto" w:fill="auto"/>
            <w:vAlign w:val="center"/>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43" w:type="dxa"/>
            <w:shd w:val="pct50" w:color="auto" w:fill="auto"/>
            <w:vAlign w:val="center"/>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004" w:type="dxa"/>
            <w:shd w:val="pct50" w:color="auto" w:fill="auto"/>
            <w:vAlign w:val="center"/>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C15D0C" w:rsidRPr="000A6B0A" w:rsidTr="00F64C2E">
        <w:trPr>
          <w:jc w:val="center"/>
        </w:trPr>
        <w:tc>
          <w:tcPr>
            <w:tcW w:w="8391" w:type="dxa"/>
            <w:gridSpan w:val="4"/>
            <w:vAlign w:val="center"/>
          </w:tcPr>
          <w:p w:rsidR="00C15D0C" w:rsidRPr="0086605D" w:rsidRDefault="00C15D0C" w:rsidP="0086605D">
            <w:pPr>
              <w:pStyle w:val="Tabellentextrechts"/>
              <w:spacing w:before="0" w:after="0"/>
              <w:jc w:val="center"/>
              <w:rPr>
                <w:rFonts w:asciiTheme="minorHAnsi" w:hAnsiTheme="minorHAnsi" w:cs="Calibri"/>
                <w:b/>
                <w:sz w:val="20"/>
                <w:lang w:val="en-GB"/>
              </w:rPr>
            </w:pPr>
            <w:r w:rsidRPr="0086605D">
              <w:rPr>
                <w:rFonts w:asciiTheme="minorHAnsi" w:hAnsiTheme="minorHAnsi" w:cs="Calibri"/>
                <w:b/>
                <w:sz w:val="20"/>
                <w:lang w:val="en-GB"/>
              </w:rPr>
              <w:t>Minimum Access</w:t>
            </w:r>
          </w:p>
        </w:tc>
      </w:tr>
      <w:tr w:rsidR="00C15D0C" w:rsidRPr="00C54CEB" w:rsidTr="00F64C2E">
        <w:trPr>
          <w:jc w:val="center"/>
        </w:trPr>
        <w:tc>
          <w:tcPr>
            <w:tcW w:w="1604" w:type="dxa"/>
            <w:vAlign w:val="center"/>
          </w:tcPr>
          <w:p w:rsidR="00C15D0C" w:rsidRPr="000A6B0A" w:rsidRDefault="00C15D0C"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Access</w:t>
            </w:r>
          </w:p>
          <w:p w:rsidR="00C15D0C" w:rsidRPr="000A6B0A" w:rsidRDefault="00C15D0C">
            <w:pPr>
              <w:jc w:val="center"/>
              <w:rPr>
                <w:rFonts w:asciiTheme="minorHAnsi" w:hAnsiTheme="minorHAnsi" w:cs="Calibri"/>
                <w:b/>
                <w:sz w:val="20"/>
                <w:szCs w:val="20"/>
                <w:lang w:val="en-GB" w:eastAsia="de-CH"/>
              </w:rPr>
            </w:pPr>
          </w:p>
        </w:tc>
        <w:tc>
          <w:tcPr>
            <w:tcW w:w="1443" w:type="dxa"/>
            <w:vAlign w:val="center"/>
          </w:tcPr>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004" w:type="dxa"/>
            <w:vAlign w:val="center"/>
          </w:tcPr>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Differentiation between freight and passenger trains.</w:t>
            </w:r>
          </w:p>
          <w:p w:rsidR="00C15D0C" w:rsidRPr="000A6B0A" w:rsidRDefault="00C15D0C" w:rsidP="0086605D">
            <w:pPr>
              <w:pStyle w:val="Tabellentextrechts"/>
              <w:spacing w:before="0" w:after="0"/>
              <w:jc w:val="center"/>
              <w:rPr>
                <w:rFonts w:asciiTheme="minorHAnsi" w:hAnsiTheme="minorHAnsi" w:cs="Calibri"/>
                <w:sz w:val="20"/>
                <w:lang w:val="en-GB"/>
              </w:rPr>
            </w:pPr>
          </w:p>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train km change with weight category.</w:t>
            </w:r>
          </w:p>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Passengers: train km change with weight category.</w:t>
            </w:r>
          </w:p>
          <w:p w:rsidR="00C15D0C" w:rsidRPr="000A6B0A" w:rsidRDefault="00C15D0C" w:rsidP="0086605D">
            <w:pPr>
              <w:pStyle w:val="Tabellentextrechts"/>
              <w:spacing w:before="0" w:after="0"/>
              <w:jc w:val="center"/>
              <w:rPr>
                <w:rFonts w:asciiTheme="minorHAnsi" w:hAnsiTheme="minorHAnsi" w:cs="Calibri"/>
                <w:sz w:val="20"/>
                <w:lang w:val="en-GB"/>
              </w:rPr>
            </w:pPr>
          </w:p>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Line category (7)</w:t>
            </w:r>
          </w:p>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Main line (3)</w:t>
            </w:r>
          </w:p>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Regional line (4)</w:t>
            </w:r>
          </w:p>
        </w:tc>
        <w:tc>
          <w:tcPr>
            <w:tcW w:w="2340" w:type="dxa"/>
            <w:vAlign w:val="center"/>
          </w:tcPr>
          <w:p w:rsidR="00C15D0C" w:rsidRPr="000A6B0A" w:rsidRDefault="00C15D0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The costs directly incurred for running the railway service (for instance maintenance and renewal, rail traffic management).</w:t>
            </w:r>
          </w:p>
        </w:tc>
      </w:tr>
    </w:tbl>
    <w:p w:rsidR="00C15D0C" w:rsidRPr="000A6B0A" w:rsidRDefault="00C15D0C" w:rsidP="00C15D0C">
      <w:pPr>
        <w:jc w:val="both"/>
        <w:rPr>
          <w:lang w:val="en-GB"/>
        </w:rPr>
      </w:pPr>
    </w:p>
    <w:p w:rsidR="00C15D0C" w:rsidRPr="000A6B0A" w:rsidRDefault="00C15D0C" w:rsidP="00C15D0C">
      <w:pPr>
        <w:jc w:val="both"/>
        <w:rPr>
          <w:lang w:val="en-GB"/>
        </w:rPr>
      </w:pPr>
    </w:p>
    <w:p w:rsidR="00C15D0C" w:rsidRPr="00C15D0C" w:rsidRDefault="00C15D0C" w:rsidP="00C15D0C">
      <w:pPr>
        <w:rPr>
          <w:lang w:val="en-GB"/>
        </w:rPr>
      </w:pPr>
      <w:r>
        <w:rPr>
          <w:lang w:val="en-GB"/>
        </w:rPr>
        <w:br w:type="page"/>
      </w:r>
    </w:p>
    <w:p w:rsidR="00E018A6" w:rsidRPr="000A6B0A" w:rsidRDefault="00E018A6" w:rsidP="00E561FB">
      <w:pPr>
        <w:pStyle w:val="Titre1"/>
        <w:numPr>
          <w:ilvl w:val="1"/>
          <w:numId w:val="13"/>
        </w:numPr>
        <w:spacing w:line="276" w:lineRule="auto"/>
        <w:jc w:val="both"/>
        <w:rPr>
          <w:rFonts w:asciiTheme="minorHAnsi" w:hAnsiTheme="minorHAnsi"/>
          <w:sz w:val="22"/>
          <w:szCs w:val="22"/>
          <w:lang w:val="en-GB"/>
        </w:rPr>
      </w:pPr>
      <w:bookmarkStart w:id="43" w:name="_Toc461625126"/>
      <w:bookmarkStart w:id="44" w:name="_Toc461625228"/>
      <w:bookmarkStart w:id="45" w:name="_Toc496279022"/>
      <w:r w:rsidRPr="000A6B0A">
        <w:rPr>
          <w:rFonts w:asciiTheme="minorHAnsi" w:hAnsiTheme="minorHAnsi"/>
          <w:sz w:val="22"/>
          <w:szCs w:val="22"/>
          <w:lang w:val="en-GB"/>
        </w:rPr>
        <w:lastRenderedPageBreak/>
        <w:t>Denmark</w:t>
      </w:r>
      <w:bookmarkEnd w:id="43"/>
      <w:bookmarkEnd w:id="44"/>
      <w:bookmarkEnd w:id="45"/>
    </w:p>
    <w:p w:rsidR="00E018A6" w:rsidRPr="000A6B0A" w:rsidRDefault="00E018A6" w:rsidP="00E018A6">
      <w:pPr>
        <w:jc w:val="both"/>
        <w:rPr>
          <w:rFonts w:asciiTheme="minorHAnsi" w:hAnsiTheme="minorHAnsi"/>
          <w:sz w:val="22"/>
          <w:szCs w:val="22"/>
          <w:lang w:val="en-GB"/>
        </w:rPr>
      </w:pPr>
    </w:p>
    <w:p w:rsidR="00DC5C34" w:rsidRPr="000A6B0A" w:rsidRDefault="00DC5C34"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Charges for 2016 are levied as laid down in </w:t>
      </w:r>
      <w:r w:rsidR="004D27D3">
        <w:rPr>
          <w:rFonts w:asciiTheme="minorHAnsi" w:hAnsiTheme="minorHAnsi"/>
          <w:sz w:val="22"/>
          <w:szCs w:val="22"/>
          <w:lang w:val="en-GB"/>
        </w:rPr>
        <w:t xml:space="preserve">the </w:t>
      </w:r>
      <w:r w:rsidRPr="000A6B0A">
        <w:rPr>
          <w:rFonts w:asciiTheme="minorHAnsi" w:hAnsiTheme="minorHAnsi"/>
          <w:sz w:val="22"/>
          <w:szCs w:val="22"/>
          <w:lang w:val="en-GB"/>
        </w:rPr>
        <w:t>Danish Railway Act n° 686 of 27 May 2015 § 21 point 1, a national statutory order from the Transport Ministry n° 1379 of 1 December 2015 on payment of use of the state owned rail network and on environmental subsidy to freight transport on railway and a national statutory order from Rail Net Denmark n° 1357 of 27 November 2015 on infrastructure charges for the state owned rail network. The charging scheme is based on direct costs.</w:t>
      </w:r>
    </w:p>
    <w:p w:rsidR="00DC5C34" w:rsidRPr="000A6B0A" w:rsidRDefault="00DC5C34" w:rsidP="0086605D">
      <w:pPr>
        <w:spacing w:line="276" w:lineRule="auto"/>
        <w:jc w:val="both"/>
        <w:rPr>
          <w:rFonts w:asciiTheme="minorHAnsi" w:hAnsiTheme="minorHAnsi"/>
          <w:sz w:val="22"/>
          <w:szCs w:val="22"/>
          <w:lang w:val="en-GB"/>
        </w:rPr>
      </w:pPr>
    </w:p>
    <w:p w:rsidR="00DC5C34" w:rsidRPr="000A6B0A" w:rsidRDefault="00DC5C34"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2016</w:t>
      </w:r>
      <w:r w:rsidR="004D27D3">
        <w:rPr>
          <w:rFonts w:asciiTheme="minorHAnsi" w:hAnsiTheme="minorHAnsi"/>
          <w:sz w:val="22"/>
          <w:szCs w:val="22"/>
          <w:lang w:val="en-GB"/>
        </w:rPr>
        <w:t>,</w:t>
      </w:r>
      <w:r w:rsidRPr="000A6B0A">
        <w:rPr>
          <w:rFonts w:asciiTheme="minorHAnsi" w:hAnsiTheme="minorHAnsi"/>
          <w:sz w:val="22"/>
          <w:szCs w:val="22"/>
          <w:lang w:val="en-GB"/>
        </w:rPr>
        <w:t xml:space="preserve"> </w:t>
      </w:r>
      <w:r w:rsidR="004D27D3">
        <w:rPr>
          <w:rFonts w:asciiTheme="minorHAnsi" w:hAnsiTheme="minorHAnsi"/>
          <w:sz w:val="22"/>
          <w:szCs w:val="22"/>
          <w:lang w:val="en-GB"/>
        </w:rPr>
        <w:t>t</w:t>
      </w:r>
      <w:r w:rsidRPr="000A6B0A">
        <w:rPr>
          <w:rFonts w:asciiTheme="minorHAnsi" w:hAnsiTheme="minorHAnsi"/>
          <w:sz w:val="22"/>
          <w:szCs w:val="22"/>
          <w:lang w:val="en-GB"/>
        </w:rPr>
        <w:t>he IM (Banedanmark) introduced a charge based on direct costs and train.km. The charging system</w:t>
      </w:r>
      <w:r w:rsidR="004D27D3">
        <w:rPr>
          <w:rFonts w:asciiTheme="minorHAnsi" w:hAnsiTheme="minorHAnsi"/>
          <w:sz w:val="22"/>
          <w:szCs w:val="22"/>
          <w:lang w:val="en-GB"/>
        </w:rPr>
        <w:t xml:space="preserve"> includes</w:t>
      </w:r>
      <w:r w:rsidRPr="000A6B0A">
        <w:rPr>
          <w:rFonts w:asciiTheme="minorHAnsi" w:hAnsiTheme="minorHAnsi"/>
          <w:sz w:val="22"/>
          <w:szCs w:val="22"/>
          <w:lang w:val="en-GB"/>
        </w:rPr>
        <w:t xml:space="preserve"> a uniform charge (in DKK/train.km) for both passenger and freight trains and a bridge charge.  </w:t>
      </w:r>
    </w:p>
    <w:p w:rsidR="00DC5C34" w:rsidRPr="000A6B0A" w:rsidRDefault="00DC5C34" w:rsidP="0086605D">
      <w:pPr>
        <w:spacing w:line="276" w:lineRule="auto"/>
        <w:jc w:val="both"/>
        <w:rPr>
          <w:rFonts w:asciiTheme="minorHAnsi" w:hAnsiTheme="minorHAnsi"/>
          <w:sz w:val="22"/>
          <w:szCs w:val="22"/>
          <w:lang w:val="en-GB"/>
        </w:rPr>
      </w:pPr>
    </w:p>
    <w:p w:rsidR="00DC5C34" w:rsidRPr="000A6B0A" w:rsidRDefault="00DC5C34"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charge is calculated on the basis of the direct costs </w:t>
      </w:r>
      <w:r w:rsidR="004D27D3">
        <w:rPr>
          <w:rFonts w:asciiTheme="minorHAnsi" w:hAnsiTheme="minorHAnsi"/>
          <w:sz w:val="22"/>
          <w:szCs w:val="22"/>
          <w:lang w:val="en-GB"/>
        </w:rPr>
        <w:t xml:space="preserve">related </w:t>
      </w:r>
      <w:r w:rsidRPr="000A6B0A">
        <w:rPr>
          <w:rFonts w:asciiTheme="minorHAnsi" w:hAnsiTheme="minorHAnsi"/>
          <w:sz w:val="22"/>
          <w:szCs w:val="22"/>
          <w:lang w:val="en-GB"/>
        </w:rPr>
        <w:t xml:space="preserve">to maintenance of the tracks for the period 2009-2020. For the period 2009-2013 the calculation is based </w:t>
      </w:r>
      <w:r w:rsidR="00763F22" w:rsidRPr="000A6B0A">
        <w:rPr>
          <w:rFonts w:asciiTheme="minorHAnsi" w:hAnsiTheme="minorHAnsi"/>
          <w:sz w:val="22"/>
          <w:szCs w:val="22"/>
          <w:lang w:val="en-GB"/>
        </w:rPr>
        <w:t>on real costs and train-km. For</w:t>
      </w:r>
      <w:r w:rsidRPr="000A6B0A">
        <w:rPr>
          <w:rFonts w:asciiTheme="minorHAnsi" w:hAnsiTheme="minorHAnsi"/>
          <w:sz w:val="22"/>
          <w:szCs w:val="22"/>
          <w:lang w:val="en-GB"/>
        </w:rPr>
        <w:t xml:space="preserve"> the period 2014-2020 the costs and train-km are estimated. </w:t>
      </w:r>
    </w:p>
    <w:p w:rsidR="00DC5C34" w:rsidRPr="000A6B0A" w:rsidRDefault="00DC5C34" w:rsidP="0086605D">
      <w:pPr>
        <w:spacing w:line="276" w:lineRule="auto"/>
        <w:jc w:val="both"/>
        <w:rPr>
          <w:rFonts w:asciiTheme="minorHAnsi" w:hAnsiTheme="minorHAnsi"/>
          <w:sz w:val="22"/>
          <w:szCs w:val="22"/>
          <w:lang w:val="en-GB"/>
        </w:rPr>
      </w:pPr>
    </w:p>
    <w:p w:rsidR="00DC5C34" w:rsidRPr="000A6B0A" w:rsidRDefault="00DC5C34"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At the moment the IM is not able to separate other expenses concerning the directly use of the tracks. </w:t>
      </w:r>
    </w:p>
    <w:p w:rsidR="00DC5C34" w:rsidRPr="000A6B0A" w:rsidRDefault="00DC5C34" w:rsidP="0086605D">
      <w:pPr>
        <w:spacing w:line="276" w:lineRule="auto"/>
        <w:jc w:val="both"/>
        <w:rPr>
          <w:rFonts w:asciiTheme="minorHAnsi" w:hAnsiTheme="minorHAnsi"/>
          <w:sz w:val="22"/>
          <w:szCs w:val="22"/>
          <w:lang w:val="en-GB"/>
        </w:rPr>
      </w:pPr>
    </w:p>
    <w:p w:rsidR="00DC5C34" w:rsidRPr="000A6B0A" w:rsidRDefault="00DC5C34"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IM has calculated the charge DKK 4,80 (0,64 Euro) each Train-km. (2015 price level). This charge </w:t>
      </w:r>
      <w:r w:rsidR="004D27D3">
        <w:rPr>
          <w:rFonts w:asciiTheme="minorHAnsi" w:hAnsiTheme="minorHAnsi"/>
          <w:sz w:val="22"/>
          <w:szCs w:val="22"/>
          <w:lang w:val="en-GB"/>
        </w:rPr>
        <w:t xml:space="preserve">is </w:t>
      </w:r>
      <w:r w:rsidRPr="000A6B0A">
        <w:rPr>
          <w:rFonts w:asciiTheme="minorHAnsi" w:hAnsiTheme="minorHAnsi"/>
          <w:sz w:val="22"/>
          <w:szCs w:val="22"/>
          <w:lang w:val="en-GB"/>
        </w:rPr>
        <w:t xml:space="preserve">regulated yearly by an index based on the general level for prices and wages.  </w:t>
      </w:r>
    </w:p>
    <w:p w:rsidR="00E018A6" w:rsidRPr="000A6B0A" w:rsidRDefault="00E018A6" w:rsidP="00E018A6">
      <w:pPr>
        <w:rPr>
          <w:rFonts w:asciiTheme="minorHAnsi" w:hAnsiTheme="minorHAnsi"/>
          <w:sz w:val="22"/>
          <w:szCs w:val="22"/>
          <w:lang w:val="en-GB"/>
        </w:rPr>
      </w:pPr>
    </w:p>
    <w:p w:rsidR="00E018A6" w:rsidRPr="000A6B0A" w:rsidRDefault="00E018A6" w:rsidP="00E018A6">
      <w:pPr>
        <w:jc w:val="both"/>
        <w:rPr>
          <w:rFonts w:asciiTheme="minorHAnsi" w:hAnsiTheme="minorHAnsi" w:cs="Calibri"/>
          <w:sz w:val="24"/>
          <w:szCs w:val="24"/>
          <w:lang w:val="en-GB"/>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443"/>
        <w:gridCol w:w="3004"/>
        <w:gridCol w:w="2340"/>
      </w:tblGrid>
      <w:tr w:rsidR="00E018A6" w:rsidRPr="000A6B0A" w:rsidTr="00244DFF">
        <w:trPr>
          <w:jc w:val="center"/>
        </w:trPr>
        <w:tc>
          <w:tcPr>
            <w:tcW w:w="1604" w:type="dxa"/>
            <w:shd w:val="pct50" w:color="auto" w:fill="auto"/>
            <w:vAlign w:val="center"/>
          </w:tcPr>
          <w:p w:rsidR="00E018A6" w:rsidRPr="000A6B0A" w:rsidRDefault="00E018A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43" w:type="dxa"/>
            <w:shd w:val="pct50" w:color="auto" w:fill="auto"/>
            <w:vAlign w:val="center"/>
          </w:tcPr>
          <w:p w:rsidR="00E018A6" w:rsidRPr="000A6B0A" w:rsidRDefault="00E018A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004" w:type="dxa"/>
            <w:shd w:val="pct50" w:color="auto" w:fill="auto"/>
            <w:vAlign w:val="center"/>
          </w:tcPr>
          <w:p w:rsidR="00E018A6" w:rsidRPr="000A6B0A" w:rsidRDefault="00E018A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E018A6" w:rsidRPr="000A6B0A" w:rsidRDefault="00E018A6"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E018A6" w:rsidRPr="000A6B0A" w:rsidTr="00244DFF">
        <w:trPr>
          <w:jc w:val="center"/>
        </w:trPr>
        <w:tc>
          <w:tcPr>
            <w:tcW w:w="1604" w:type="dxa"/>
            <w:vAlign w:val="center"/>
          </w:tcPr>
          <w:p w:rsidR="00E018A6" w:rsidRPr="000A6B0A" w:rsidRDefault="00E018A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 xml:space="preserve">Charge </w:t>
            </w:r>
          </w:p>
          <w:p w:rsidR="00E018A6" w:rsidRPr="000A6B0A" w:rsidRDefault="00E018A6">
            <w:pPr>
              <w:jc w:val="center"/>
              <w:rPr>
                <w:rFonts w:asciiTheme="minorHAnsi" w:hAnsiTheme="minorHAnsi" w:cs="Calibri"/>
                <w:b/>
                <w:sz w:val="20"/>
                <w:szCs w:val="20"/>
                <w:lang w:val="en-GB" w:eastAsia="de-CH"/>
              </w:rPr>
            </w:pPr>
          </w:p>
        </w:tc>
        <w:tc>
          <w:tcPr>
            <w:tcW w:w="1443" w:type="dxa"/>
            <w:vAlign w:val="center"/>
          </w:tcPr>
          <w:p w:rsidR="00E018A6" w:rsidRPr="000A6B0A" w:rsidRDefault="00244DF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DKK/train.</w:t>
            </w:r>
            <w:r w:rsidR="00E018A6" w:rsidRPr="000A6B0A">
              <w:rPr>
                <w:rFonts w:asciiTheme="minorHAnsi" w:hAnsiTheme="minorHAnsi" w:cs="Calibri"/>
                <w:sz w:val="20"/>
                <w:lang w:val="en-GB"/>
              </w:rPr>
              <w:t>km</w:t>
            </w:r>
          </w:p>
        </w:tc>
        <w:tc>
          <w:tcPr>
            <w:tcW w:w="3004" w:type="dxa"/>
            <w:vAlign w:val="center"/>
          </w:tcPr>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No market segmentation, but some </w:t>
            </w:r>
            <w:r w:rsidR="00244DFF" w:rsidRPr="000A6B0A">
              <w:rPr>
                <w:rFonts w:asciiTheme="minorHAnsi" w:hAnsiTheme="minorHAnsi" w:cs="Calibri"/>
                <w:sz w:val="20"/>
                <w:lang w:val="en-GB"/>
              </w:rPr>
              <w:t>kinds</w:t>
            </w:r>
            <w:r w:rsidRPr="000A6B0A">
              <w:rPr>
                <w:rFonts w:asciiTheme="minorHAnsi" w:hAnsiTheme="minorHAnsi" w:cs="Calibri"/>
                <w:sz w:val="20"/>
                <w:lang w:val="en-GB"/>
              </w:rPr>
              <w:t xml:space="preserve"> of transportation are free of charge</w:t>
            </w:r>
          </w:p>
          <w:p w:rsidR="00E018A6" w:rsidRPr="000A6B0A" w:rsidRDefault="00E018A6" w:rsidP="0086605D">
            <w:pPr>
              <w:pStyle w:val="Tabellentextrechts"/>
              <w:spacing w:before="0" w:after="0"/>
              <w:jc w:val="center"/>
              <w:rPr>
                <w:rFonts w:asciiTheme="minorHAnsi" w:hAnsiTheme="minorHAnsi" w:cs="Calibri"/>
                <w:sz w:val="20"/>
                <w:lang w:val="en-GB"/>
              </w:rPr>
            </w:pPr>
          </w:p>
        </w:tc>
        <w:tc>
          <w:tcPr>
            <w:tcW w:w="2340" w:type="dxa"/>
            <w:vAlign w:val="center"/>
          </w:tcPr>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Direct costs</w:t>
            </w:r>
          </w:p>
        </w:tc>
      </w:tr>
      <w:tr w:rsidR="00E018A6" w:rsidRPr="00C54CEB" w:rsidTr="00244DFF">
        <w:trPr>
          <w:jc w:val="center"/>
        </w:trPr>
        <w:tc>
          <w:tcPr>
            <w:tcW w:w="1604" w:type="dxa"/>
            <w:vAlign w:val="center"/>
          </w:tcPr>
          <w:p w:rsidR="00E018A6" w:rsidRPr="000A6B0A" w:rsidRDefault="00E018A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Incentives and Mark-ups</w:t>
            </w:r>
          </w:p>
        </w:tc>
        <w:tc>
          <w:tcPr>
            <w:tcW w:w="1443" w:type="dxa"/>
            <w:vAlign w:val="center"/>
          </w:tcPr>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DKK/train</w:t>
            </w:r>
            <w:r w:rsidR="00244DFF" w:rsidRPr="000A6B0A">
              <w:rPr>
                <w:rFonts w:asciiTheme="minorHAnsi" w:hAnsiTheme="minorHAnsi" w:cs="Calibri"/>
                <w:sz w:val="20"/>
                <w:lang w:val="en-GB"/>
              </w:rPr>
              <w:t>.</w:t>
            </w:r>
            <w:r w:rsidRPr="000A6B0A">
              <w:rPr>
                <w:rFonts w:asciiTheme="minorHAnsi" w:hAnsiTheme="minorHAnsi" w:cs="Calibri"/>
                <w:sz w:val="20"/>
                <w:lang w:val="en-GB"/>
              </w:rPr>
              <w:t>km</w:t>
            </w:r>
          </w:p>
        </w:tc>
        <w:tc>
          <w:tcPr>
            <w:tcW w:w="3004" w:type="dxa"/>
            <w:vAlign w:val="center"/>
          </w:tcPr>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Incentives for capacity optimization </w:t>
            </w:r>
          </w:p>
          <w:p w:rsidR="00E018A6" w:rsidRPr="000A6B0A" w:rsidRDefault="00E018A6" w:rsidP="0086605D">
            <w:pPr>
              <w:pStyle w:val="Tabellentextrechts"/>
              <w:spacing w:before="0" w:after="0"/>
              <w:jc w:val="center"/>
              <w:rPr>
                <w:rFonts w:asciiTheme="minorHAnsi" w:hAnsiTheme="minorHAnsi" w:cs="Calibri"/>
                <w:color w:val="0000FF"/>
                <w:sz w:val="20"/>
                <w:lang w:val="en-GB"/>
              </w:rPr>
            </w:pPr>
            <w:r w:rsidRPr="000A6B0A">
              <w:rPr>
                <w:rFonts w:asciiTheme="minorHAnsi" w:hAnsiTheme="minorHAnsi" w:cs="Calibri"/>
                <w:sz w:val="20"/>
                <w:lang w:val="en-GB"/>
              </w:rPr>
              <w:t xml:space="preserve">No mark-up is </w:t>
            </w:r>
            <w:r w:rsidR="00244DFF" w:rsidRPr="000A6B0A">
              <w:rPr>
                <w:rFonts w:asciiTheme="minorHAnsi" w:hAnsiTheme="minorHAnsi" w:cs="Calibri"/>
                <w:sz w:val="20"/>
                <w:lang w:val="en-GB"/>
              </w:rPr>
              <w:t>levied</w:t>
            </w:r>
          </w:p>
          <w:p w:rsidR="00E018A6" w:rsidRPr="000A6B0A" w:rsidRDefault="00E018A6" w:rsidP="0086605D">
            <w:pPr>
              <w:pStyle w:val="Tabellentextrechts"/>
              <w:spacing w:before="0" w:after="0"/>
              <w:jc w:val="center"/>
              <w:rPr>
                <w:rFonts w:asciiTheme="minorHAnsi" w:hAnsiTheme="minorHAnsi" w:cs="Calibri"/>
                <w:color w:val="0000FF"/>
                <w:sz w:val="20"/>
                <w:lang w:val="en-GB"/>
              </w:rPr>
            </w:pPr>
          </w:p>
        </w:tc>
        <w:tc>
          <w:tcPr>
            <w:tcW w:w="2340" w:type="dxa"/>
            <w:vAlign w:val="center"/>
          </w:tcPr>
          <w:p w:rsidR="00E018A6" w:rsidRPr="000A6B0A" w:rsidRDefault="00E018A6" w:rsidP="0086605D">
            <w:pPr>
              <w:pStyle w:val="Tabellentextrechts"/>
              <w:spacing w:before="0" w:after="0"/>
              <w:jc w:val="center"/>
              <w:rPr>
                <w:rFonts w:asciiTheme="minorHAnsi" w:hAnsiTheme="minorHAnsi" w:cs="Calibri"/>
                <w:color w:val="0000FF"/>
                <w:sz w:val="20"/>
                <w:lang w:val="en-GB"/>
              </w:rPr>
            </w:pPr>
          </w:p>
        </w:tc>
      </w:tr>
      <w:tr w:rsidR="00E018A6" w:rsidRPr="00C54CEB" w:rsidTr="00244DFF">
        <w:trPr>
          <w:jc w:val="center"/>
        </w:trPr>
        <w:tc>
          <w:tcPr>
            <w:tcW w:w="1604" w:type="dxa"/>
            <w:vAlign w:val="center"/>
          </w:tcPr>
          <w:p w:rsidR="00E018A6" w:rsidRPr="000A6B0A" w:rsidRDefault="00E018A6"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Performance regime</w:t>
            </w:r>
          </w:p>
        </w:tc>
        <w:tc>
          <w:tcPr>
            <w:tcW w:w="1443" w:type="dxa"/>
            <w:vAlign w:val="center"/>
          </w:tcPr>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DKK/min delay</w:t>
            </w:r>
          </w:p>
        </w:tc>
        <w:tc>
          <w:tcPr>
            <w:tcW w:w="3004" w:type="dxa"/>
            <w:vAlign w:val="center"/>
          </w:tcPr>
          <w:p w:rsidR="00244DFF"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To reduce disturbance</w:t>
            </w:r>
            <w:r w:rsidR="00244DFF" w:rsidRPr="000A6B0A">
              <w:rPr>
                <w:rFonts w:asciiTheme="minorHAnsi" w:hAnsiTheme="minorHAnsi" w:cs="Calibri"/>
                <w:sz w:val="20"/>
                <w:lang w:val="en-GB"/>
              </w:rPr>
              <w:t>s on the rail network, a capacity charge is levied for delayed trains.</w:t>
            </w:r>
          </w:p>
          <w:p w:rsidR="00E018A6" w:rsidRPr="000A6B0A" w:rsidRDefault="00E018A6"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The IM has to pay a charge to the railway company for delays </w:t>
            </w:r>
            <w:r w:rsidR="00244DFF" w:rsidRPr="000A6B0A">
              <w:rPr>
                <w:rFonts w:asciiTheme="minorHAnsi" w:hAnsiTheme="minorHAnsi" w:cs="Calibri"/>
                <w:sz w:val="20"/>
                <w:lang w:val="en-GB"/>
              </w:rPr>
              <w:t xml:space="preserve">attributable to him and under </w:t>
            </w:r>
            <w:r w:rsidRPr="000A6B0A">
              <w:rPr>
                <w:rFonts w:asciiTheme="minorHAnsi" w:hAnsiTheme="minorHAnsi" w:cs="Calibri"/>
                <w:sz w:val="20"/>
                <w:lang w:val="en-GB"/>
              </w:rPr>
              <w:t>different circumstances.</w:t>
            </w:r>
          </w:p>
        </w:tc>
        <w:tc>
          <w:tcPr>
            <w:tcW w:w="2340" w:type="dxa"/>
            <w:vAlign w:val="center"/>
          </w:tcPr>
          <w:p w:rsidR="00E018A6" w:rsidRPr="000A6B0A" w:rsidRDefault="00E018A6" w:rsidP="0086605D">
            <w:pPr>
              <w:pStyle w:val="Tabellentextrechts"/>
              <w:spacing w:before="0" w:after="0"/>
              <w:jc w:val="center"/>
              <w:rPr>
                <w:rFonts w:asciiTheme="minorHAnsi" w:hAnsiTheme="minorHAnsi" w:cs="Calibri"/>
                <w:color w:val="0000FF"/>
                <w:sz w:val="20"/>
                <w:lang w:val="en-GB"/>
              </w:rPr>
            </w:pPr>
          </w:p>
        </w:tc>
      </w:tr>
    </w:tbl>
    <w:p w:rsidR="004021B3" w:rsidRPr="000A6B0A" w:rsidRDefault="004021B3" w:rsidP="00E018A6">
      <w:pPr>
        <w:autoSpaceDE w:val="0"/>
        <w:autoSpaceDN w:val="0"/>
        <w:adjustRightInd w:val="0"/>
        <w:ind w:left="720"/>
        <w:rPr>
          <w:rFonts w:asciiTheme="minorHAnsi" w:hAnsiTheme="minorHAnsi" w:cs="Calibri"/>
          <w:sz w:val="24"/>
          <w:szCs w:val="24"/>
          <w:lang w:val="en-GB"/>
        </w:rPr>
      </w:pPr>
    </w:p>
    <w:p w:rsidR="00D61E57" w:rsidRPr="000A6B0A" w:rsidRDefault="00C15D0C" w:rsidP="00D61E57">
      <w:pPr>
        <w:pStyle w:val="Titre1"/>
        <w:numPr>
          <w:ilvl w:val="1"/>
          <w:numId w:val="13"/>
        </w:numPr>
        <w:spacing w:line="276" w:lineRule="auto"/>
        <w:jc w:val="both"/>
        <w:rPr>
          <w:rFonts w:asciiTheme="minorHAnsi" w:hAnsiTheme="minorHAnsi"/>
          <w:sz w:val="22"/>
          <w:szCs w:val="22"/>
          <w:lang w:val="en-GB"/>
        </w:rPr>
      </w:pPr>
      <w:r>
        <w:rPr>
          <w:lang w:val="en-GB"/>
        </w:rPr>
        <w:br w:type="page"/>
      </w:r>
      <w:bookmarkStart w:id="46" w:name="_Toc496279023"/>
      <w:r w:rsidR="00D61E57">
        <w:rPr>
          <w:rFonts w:asciiTheme="minorHAnsi" w:hAnsiTheme="minorHAnsi"/>
          <w:sz w:val="22"/>
          <w:szCs w:val="22"/>
          <w:lang w:val="en-GB"/>
        </w:rPr>
        <w:lastRenderedPageBreak/>
        <w:t>Estonia</w:t>
      </w:r>
      <w:bookmarkEnd w:id="46"/>
    </w:p>
    <w:p w:rsidR="00C15D0C" w:rsidRPr="00C15D0C" w:rsidRDefault="00C15D0C" w:rsidP="00C15D0C">
      <w:pPr>
        <w:rPr>
          <w:rFonts w:asciiTheme="minorHAnsi" w:hAnsiTheme="minorHAnsi" w:cs="Calibri"/>
          <w:sz w:val="24"/>
          <w:szCs w:val="24"/>
          <w:lang w:val="en-GB"/>
        </w:rPr>
      </w:pPr>
    </w:p>
    <w:tbl>
      <w:tblPr>
        <w:tblW w:w="7163" w:type="dxa"/>
        <w:tblInd w:w="250" w:type="dxa"/>
        <w:tblLook w:val="04A0" w:firstRow="1" w:lastRow="0" w:firstColumn="1" w:lastColumn="0" w:noHBand="0" w:noVBand="1"/>
      </w:tblPr>
      <w:tblGrid>
        <w:gridCol w:w="950"/>
        <w:gridCol w:w="1446"/>
        <w:gridCol w:w="2924"/>
        <w:gridCol w:w="1843"/>
      </w:tblGrid>
      <w:tr w:rsidR="00C15D0C" w:rsidTr="00C15D0C">
        <w:trPr>
          <w:trHeight w:val="46"/>
        </w:trPr>
        <w:tc>
          <w:tcPr>
            <w:tcW w:w="950" w:type="dxa"/>
            <w:tcBorders>
              <w:top w:val="single" w:sz="8" w:space="0" w:color="auto"/>
              <w:left w:val="single" w:sz="8" w:space="0" w:color="auto"/>
              <w:bottom w:val="single" w:sz="4"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46"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924"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1843"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C15D0C" w:rsidRPr="000A6B0A" w:rsidRDefault="00C15D0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C15D0C" w:rsidTr="00C15D0C">
        <w:trPr>
          <w:trHeight w:val="1185"/>
        </w:trPr>
        <w:tc>
          <w:tcPr>
            <w:tcW w:w="950" w:type="dxa"/>
            <w:tcBorders>
              <w:top w:val="single" w:sz="4" w:space="0" w:color="auto"/>
              <w:left w:val="single" w:sz="4" w:space="0" w:color="auto"/>
              <w:bottom w:val="single" w:sz="4" w:space="0" w:color="auto"/>
              <w:right w:val="single" w:sz="4"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hr-HR"/>
              </w:rPr>
            </w:pPr>
            <w:r w:rsidRPr="0086605D">
              <w:rPr>
                <w:rFonts w:asciiTheme="minorHAnsi" w:hAnsiTheme="minorHAnsi" w:cs="Times New Roman"/>
                <w:b/>
                <w:color w:val="222222"/>
                <w:sz w:val="20"/>
                <w:szCs w:val="20"/>
                <w:lang w:val="en-GB" w:eastAsia="hr-HR"/>
              </w:rPr>
              <w:t>Charge 1</w:t>
            </w:r>
          </w:p>
        </w:tc>
        <w:tc>
          <w:tcPr>
            <w:tcW w:w="1446" w:type="dxa"/>
            <w:tcBorders>
              <w:top w:val="single" w:sz="4" w:space="0" w:color="auto"/>
              <w:left w:val="single" w:sz="4" w:space="0" w:color="auto"/>
              <w:bottom w:val="single" w:sz="4" w:space="0" w:color="auto"/>
              <w:right w:val="single" w:sz="4"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hr-HR"/>
              </w:rPr>
            </w:pPr>
            <w:r w:rsidRPr="00C15D0C">
              <w:rPr>
                <w:rFonts w:asciiTheme="minorHAnsi" w:hAnsiTheme="minorHAnsi" w:cs="Times New Roman"/>
                <w:color w:val="222222"/>
                <w:sz w:val="20"/>
                <w:szCs w:val="20"/>
                <w:lang w:val="en-GB" w:eastAsia="hr-HR"/>
              </w:rPr>
              <w:t>Train-km</w:t>
            </w:r>
          </w:p>
        </w:tc>
        <w:tc>
          <w:tcPr>
            <w:tcW w:w="2924" w:type="dxa"/>
            <w:tcBorders>
              <w:top w:val="single" w:sz="4" w:space="0" w:color="auto"/>
              <w:left w:val="single" w:sz="4" w:space="0" w:color="auto"/>
              <w:bottom w:val="single" w:sz="4" w:space="0" w:color="auto"/>
              <w:right w:val="single" w:sz="4" w:space="0" w:color="auto"/>
            </w:tcBorders>
            <w:vAlign w:val="center"/>
            <w:hideMark/>
          </w:tcPr>
          <w:p w:rsidR="00C15D0C" w:rsidRPr="00C15D0C" w:rsidRDefault="00C15D0C">
            <w:pPr>
              <w:rPr>
                <w:rFonts w:asciiTheme="minorHAnsi" w:hAnsiTheme="minorHAnsi" w:cs="Times New Roman"/>
                <w:color w:val="222222"/>
                <w:sz w:val="20"/>
                <w:szCs w:val="20"/>
                <w:lang w:val="en-GB" w:eastAsia="hr-HR"/>
              </w:rPr>
            </w:pPr>
            <w:r w:rsidRPr="00C15D0C">
              <w:rPr>
                <w:rFonts w:asciiTheme="minorHAnsi" w:hAnsiTheme="minorHAnsi" w:cs="Times New Roman"/>
                <w:color w:val="222222"/>
                <w:sz w:val="20"/>
                <w:szCs w:val="20"/>
                <w:lang w:val="en-GB" w:eastAsia="hr-HR"/>
              </w:rPr>
              <w:t>It depends o</w:t>
            </w:r>
            <w:r w:rsidR="004D27D3">
              <w:rPr>
                <w:rFonts w:asciiTheme="minorHAnsi" w:hAnsiTheme="minorHAnsi" w:cs="Times New Roman"/>
                <w:color w:val="222222"/>
                <w:sz w:val="20"/>
                <w:szCs w:val="20"/>
                <w:lang w:val="en-GB" w:eastAsia="hr-HR"/>
              </w:rPr>
              <w:t>n</w:t>
            </w:r>
            <w:r w:rsidRPr="00C15D0C">
              <w:rPr>
                <w:rFonts w:asciiTheme="minorHAnsi" w:hAnsiTheme="minorHAnsi" w:cs="Times New Roman"/>
                <w:color w:val="222222"/>
                <w:sz w:val="20"/>
                <w:szCs w:val="20"/>
                <w:lang w:val="en-GB" w:eastAsia="hr-HR"/>
              </w:rPr>
              <w:t xml:space="preserve"> the passenger/cargo usage ratio. If the passenger train capacity is more than 75%, then it is charged both fixed and variable costs and the cargo trains only variable costs. If the passenger train volume is &lt;75%, then cargo trains are charge</w:t>
            </w:r>
            <w:r w:rsidR="004D27D3">
              <w:rPr>
                <w:rFonts w:asciiTheme="minorHAnsi" w:hAnsiTheme="minorHAnsi" w:cs="Times New Roman"/>
                <w:color w:val="222222"/>
                <w:sz w:val="20"/>
                <w:szCs w:val="20"/>
                <w:lang w:val="en-GB" w:eastAsia="hr-HR"/>
              </w:rPr>
              <w:t>d</w:t>
            </w:r>
            <w:r w:rsidRPr="00C15D0C">
              <w:rPr>
                <w:rFonts w:asciiTheme="minorHAnsi" w:hAnsiTheme="minorHAnsi" w:cs="Times New Roman"/>
                <w:color w:val="222222"/>
                <w:sz w:val="20"/>
                <w:szCs w:val="20"/>
                <w:lang w:val="en-GB" w:eastAsia="hr-HR"/>
              </w:rPr>
              <w:t xml:space="preserve"> fixed and variable costs and passenger trains only variable costs.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hr-HR"/>
              </w:rPr>
            </w:pPr>
            <w:r w:rsidRPr="00C15D0C">
              <w:rPr>
                <w:rFonts w:asciiTheme="minorHAnsi" w:hAnsiTheme="minorHAnsi" w:cs="Times New Roman"/>
                <w:color w:val="222222"/>
                <w:sz w:val="20"/>
                <w:szCs w:val="20"/>
                <w:lang w:val="en-GB" w:eastAsia="hr-HR"/>
              </w:rPr>
              <w:t>Fixed costs</w:t>
            </w:r>
          </w:p>
        </w:tc>
      </w:tr>
      <w:tr w:rsidR="00C15D0C" w:rsidTr="00C15D0C">
        <w:trPr>
          <w:trHeight w:val="1185"/>
        </w:trPr>
        <w:tc>
          <w:tcPr>
            <w:tcW w:w="950" w:type="dxa"/>
            <w:tcBorders>
              <w:top w:val="single" w:sz="4" w:space="0" w:color="auto"/>
              <w:left w:val="single" w:sz="4" w:space="0" w:color="auto"/>
              <w:bottom w:val="single" w:sz="4" w:space="0" w:color="auto"/>
              <w:right w:val="single" w:sz="4" w:space="0" w:color="auto"/>
            </w:tcBorders>
            <w:vAlign w:val="center"/>
            <w:hideMark/>
          </w:tcPr>
          <w:p w:rsidR="00C15D0C" w:rsidRPr="0086605D" w:rsidRDefault="00C15D0C">
            <w:pPr>
              <w:jc w:val="center"/>
              <w:rPr>
                <w:rFonts w:asciiTheme="minorHAnsi" w:hAnsiTheme="minorHAnsi" w:cs="Times New Roman"/>
                <w:b/>
                <w:color w:val="222222"/>
                <w:sz w:val="20"/>
                <w:szCs w:val="20"/>
                <w:lang w:val="en-GB" w:eastAsia="hr-HR"/>
              </w:rPr>
            </w:pPr>
            <w:r w:rsidRPr="0086605D">
              <w:rPr>
                <w:rFonts w:asciiTheme="minorHAnsi" w:hAnsiTheme="minorHAnsi" w:cs="Times New Roman"/>
                <w:b/>
                <w:color w:val="222222"/>
                <w:sz w:val="20"/>
                <w:szCs w:val="20"/>
                <w:lang w:val="en-GB" w:eastAsia="hr-HR"/>
              </w:rPr>
              <w:t>Charge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hr-HR"/>
              </w:rPr>
            </w:pPr>
            <w:r w:rsidRPr="00C15D0C">
              <w:rPr>
                <w:rFonts w:asciiTheme="minorHAnsi" w:hAnsiTheme="minorHAnsi" w:cs="Times New Roman"/>
                <w:color w:val="222222"/>
                <w:sz w:val="20"/>
                <w:szCs w:val="20"/>
                <w:lang w:val="en-GB" w:eastAsia="hr-HR"/>
              </w:rPr>
              <w:t>Gross</w:t>
            </w:r>
            <w:r w:rsidR="004D27D3">
              <w:rPr>
                <w:rFonts w:asciiTheme="minorHAnsi" w:hAnsiTheme="minorHAnsi" w:cs="Times New Roman"/>
                <w:color w:val="222222"/>
                <w:sz w:val="20"/>
                <w:szCs w:val="20"/>
                <w:lang w:val="en-GB" w:eastAsia="hr-HR"/>
              </w:rPr>
              <w:t>.</w:t>
            </w:r>
            <w:r w:rsidRPr="00C15D0C">
              <w:rPr>
                <w:rFonts w:asciiTheme="minorHAnsi" w:hAnsiTheme="minorHAnsi" w:cs="Times New Roman"/>
                <w:color w:val="222222"/>
                <w:sz w:val="20"/>
                <w:szCs w:val="20"/>
                <w:lang w:val="en-GB" w:eastAsia="hr-HR"/>
              </w:rPr>
              <w:t>tonne-km</w:t>
            </w:r>
          </w:p>
        </w:tc>
        <w:tc>
          <w:tcPr>
            <w:tcW w:w="2924" w:type="dxa"/>
            <w:tcBorders>
              <w:top w:val="single" w:sz="4" w:space="0" w:color="auto"/>
              <w:left w:val="single" w:sz="4" w:space="0" w:color="auto"/>
              <w:bottom w:val="single" w:sz="4" w:space="0" w:color="auto"/>
              <w:right w:val="single" w:sz="4" w:space="0" w:color="auto"/>
            </w:tcBorders>
            <w:vAlign w:val="center"/>
          </w:tcPr>
          <w:p w:rsidR="00C15D0C" w:rsidRPr="00C15D0C" w:rsidRDefault="00C15D0C">
            <w:pPr>
              <w:rPr>
                <w:rFonts w:asciiTheme="minorHAnsi" w:hAnsiTheme="minorHAnsi" w:cs="Times New Roman"/>
                <w:color w:val="222222"/>
                <w:sz w:val="20"/>
                <w:szCs w:val="20"/>
                <w:lang w:val="en-GB" w:eastAsia="hr-HR"/>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15D0C" w:rsidRPr="00C15D0C" w:rsidRDefault="00C15D0C">
            <w:pPr>
              <w:jc w:val="center"/>
              <w:rPr>
                <w:rFonts w:asciiTheme="minorHAnsi" w:hAnsiTheme="minorHAnsi" w:cs="Times New Roman"/>
                <w:color w:val="222222"/>
                <w:sz w:val="20"/>
                <w:szCs w:val="20"/>
                <w:lang w:val="en-GB" w:eastAsia="hr-HR"/>
              </w:rPr>
            </w:pPr>
            <w:r w:rsidRPr="00C15D0C">
              <w:rPr>
                <w:rFonts w:asciiTheme="minorHAnsi" w:hAnsiTheme="minorHAnsi" w:cs="Times New Roman"/>
                <w:color w:val="222222"/>
                <w:sz w:val="20"/>
                <w:szCs w:val="20"/>
                <w:lang w:val="en-GB" w:eastAsia="hr-HR"/>
              </w:rPr>
              <w:t>Variable costs</w:t>
            </w:r>
          </w:p>
        </w:tc>
      </w:tr>
    </w:tbl>
    <w:p w:rsidR="004021B3" w:rsidRPr="000A6B0A" w:rsidRDefault="004021B3">
      <w:pPr>
        <w:rPr>
          <w:lang w:val="en-GB"/>
        </w:rPr>
      </w:pPr>
      <w:r w:rsidRPr="000A6B0A">
        <w:rPr>
          <w:lang w:val="en-GB"/>
        </w:rPr>
        <w:br w:type="page"/>
      </w:r>
    </w:p>
    <w:p w:rsidR="00C52A47" w:rsidRPr="000A6B0A" w:rsidRDefault="00C52A47" w:rsidP="00E561FB">
      <w:pPr>
        <w:pStyle w:val="Titre1"/>
        <w:numPr>
          <w:ilvl w:val="1"/>
          <w:numId w:val="13"/>
        </w:numPr>
        <w:spacing w:line="276" w:lineRule="auto"/>
        <w:jc w:val="both"/>
        <w:rPr>
          <w:rFonts w:asciiTheme="minorHAnsi" w:hAnsiTheme="minorHAnsi"/>
          <w:sz w:val="22"/>
          <w:szCs w:val="22"/>
          <w:lang w:val="en-GB"/>
        </w:rPr>
      </w:pPr>
      <w:bookmarkStart w:id="47" w:name="_Toc461625128"/>
      <w:bookmarkStart w:id="48" w:name="_Toc461625230"/>
      <w:bookmarkStart w:id="49" w:name="_Toc496279024"/>
      <w:r w:rsidRPr="000A6B0A">
        <w:rPr>
          <w:rFonts w:asciiTheme="minorHAnsi" w:hAnsiTheme="minorHAnsi"/>
          <w:sz w:val="22"/>
          <w:szCs w:val="22"/>
          <w:lang w:val="en-GB"/>
        </w:rPr>
        <w:lastRenderedPageBreak/>
        <w:t>Finland</w:t>
      </w:r>
      <w:bookmarkEnd w:id="47"/>
      <w:bookmarkEnd w:id="48"/>
      <w:bookmarkEnd w:id="49"/>
    </w:p>
    <w:p w:rsidR="00C52A47" w:rsidRPr="000A6B0A" w:rsidRDefault="00C52A47" w:rsidP="00B52093">
      <w:pPr>
        <w:rPr>
          <w:rFonts w:asciiTheme="minorHAnsi" w:hAnsiTheme="minorHAnsi"/>
          <w:lang w:val="en-GB"/>
        </w:rPr>
      </w:pPr>
    </w:p>
    <w:p w:rsidR="00C52A47" w:rsidRPr="000A6B0A" w:rsidRDefault="00C52A47" w:rsidP="0086605D">
      <w:pPr>
        <w:spacing w:line="276" w:lineRule="auto"/>
        <w:rPr>
          <w:rFonts w:asciiTheme="minorHAnsi" w:hAnsiTheme="minorHAnsi"/>
          <w:sz w:val="22"/>
          <w:szCs w:val="22"/>
          <w:lang w:val="en-GB"/>
        </w:rPr>
      </w:pPr>
      <w:r w:rsidRPr="000A6B0A">
        <w:rPr>
          <w:rFonts w:asciiTheme="minorHAnsi" w:hAnsiTheme="minorHAnsi"/>
          <w:sz w:val="22"/>
          <w:szCs w:val="22"/>
          <w:lang w:val="en-GB"/>
        </w:rPr>
        <w:t>Track access cha</w:t>
      </w:r>
      <w:r w:rsidR="00E27140" w:rsidRPr="000A6B0A">
        <w:rPr>
          <w:rFonts w:asciiTheme="minorHAnsi" w:hAnsiTheme="minorHAnsi"/>
          <w:sz w:val="22"/>
          <w:szCs w:val="22"/>
          <w:lang w:val="en-GB"/>
        </w:rPr>
        <w:t>rges include three components: b</w:t>
      </w:r>
      <w:r w:rsidRPr="000A6B0A">
        <w:rPr>
          <w:rFonts w:asciiTheme="minorHAnsi" w:hAnsiTheme="minorHAnsi"/>
          <w:sz w:val="22"/>
          <w:szCs w:val="22"/>
          <w:lang w:val="en-GB"/>
        </w:rPr>
        <w:t>asic charge, infrastructure tax and, for a single rail line, investment tax.</w:t>
      </w:r>
    </w:p>
    <w:p w:rsidR="00C52A47" w:rsidRPr="000A6B0A" w:rsidRDefault="00C52A47" w:rsidP="00C52A47">
      <w:pPr>
        <w:rPr>
          <w:rFonts w:asciiTheme="minorHAnsi" w:hAnsiTheme="minorHAnsi"/>
          <w:sz w:val="22"/>
          <w:szCs w:val="22"/>
          <w:lang w:val="en-GB"/>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1256"/>
        <w:gridCol w:w="3191"/>
        <w:gridCol w:w="2340"/>
      </w:tblGrid>
      <w:tr w:rsidR="002822DF" w:rsidRPr="000A6B0A" w:rsidTr="00C52A47">
        <w:trPr>
          <w:jc w:val="center"/>
        </w:trPr>
        <w:tc>
          <w:tcPr>
            <w:tcW w:w="1604"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256"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191"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C52A47" w:rsidRPr="000A6B0A" w:rsidTr="00C52A47">
        <w:trPr>
          <w:jc w:val="center"/>
        </w:trPr>
        <w:tc>
          <w:tcPr>
            <w:tcW w:w="1604" w:type="dxa"/>
            <w:vAlign w:val="center"/>
          </w:tcPr>
          <w:p w:rsidR="00C52A47" w:rsidRPr="000A6B0A" w:rsidRDefault="00C52A4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Basic Charge</w:t>
            </w:r>
          </w:p>
          <w:p w:rsidR="00C52A47" w:rsidRPr="000A6B0A" w:rsidRDefault="00C52A47">
            <w:pPr>
              <w:jc w:val="center"/>
              <w:rPr>
                <w:rFonts w:asciiTheme="minorHAnsi" w:hAnsiTheme="minorHAnsi" w:cs="Calibri"/>
                <w:b/>
                <w:sz w:val="20"/>
                <w:szCs w:val="20"/>
                <w:lang w:val="en-GB" w:eastAsia="de-CH"/>
              </w:rPr>
            </w:pPr>
          </w:p>
        </w:tc>
        <w:tc>
          <w:tcPr>
            <w:tcW w:w="1256"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 tonne</w:t>
            </w:r>
            <w:r w:rsidR="00244DFF" w:rsidRPr="000A6B0A">
              <w:rPr>
                <w:rFonts w:asciiTheme="minorHAnsi" w:hAnsiTheme="minorHAnsi" w:cs="Calibri"/>
                <w:sz w:val="20"/>
                <w:lang w:val="en-GB"/>
              </w:rPr>
              <w:t>.</w:t>
            </w:r>
            <w:r w:rsidRPr="000A6B0A">
              <w:rPr>
                <w:rFonts w:asciiTheme="minorHAnsi" w:hAnsiTheme="minorHAnsi" w:cs="Calibri"/>
                <w:sz w:val="20"/>
                <w:lang w:val="en-GB"/>
              </w:rPr>
              <w:t>km</w:t>
            </w:r>
          </w:p>
        </w:tc>
        <w:tc>
          <w:tcPr>
            <w:tcW w:w="3191"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and freight traffic</w:t>
            </w:r>
          </w:p>
          <w:p w:rsidR="00C52A47" w:rsidRPr="000A6B0A" w:rsidRDefault="00C52A47" w:rsidP="0086605D">
            <w:pPr>
              <w:pStyle w:val="Tabellentextrechts"/>
              <w:spacing w:before="0" w:after="0"/>
              <w:jc w:val="center"/>
              <w:rPr>
                <w:rFonts w:asciiTheme="minorHAnsi" w:hAnsiTheme="minorHAnsi" w:cs="Calibri"/>
                <w:sz w:val="20"/>
                <w:lang w:val="en-GB"/>
              </w:rPr>
            </w:pPr>
          </w:p>
        </w:tc>
        <w:tc>
          <w:tcPr>
            <w:tcW w:w="2340"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Marginal cost </w:t>
            </w:r>
          </w:p>
        </w:tc>
      </w:tr>
      <w:tr w:rsidR="00C52A47" w:rsidRPr="00C54CEB" w:rsidTr="00C52A47">
        <w:trPr>
          <w:jc w:val="center"/>
        </w:trPr>
        <w:tc>
          <w:tcPr>
            <w:tcW w:w="1604" w:type="dxa"/>
            <w:vAlign w:val="center"/>
          </w:tcPr>
          <w:p w:rsidR="00C52A47" w:rsidRPr="000A6B0A" w:rsidRDefault="00C52A4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Infrastructure tax</w:t>
            </w:r>
          </w:p>
          <w:p w:rsidR="00C52A47" w:rsidRPr="000A6B0A" w:rsidRDefault="00C52A47">
            <w:pPr>
              <w:jc w:val="center"/>
              <w:rPr>
                <w:rFonts w:asciiTheme="minorHAnsi" w:hAnsiTheme="minorHAnsi" w:cs="Calibri"/>
                <w:b/>
                <w:sz w:val="20"/>
                <w:szCs w:val="20"/>
                <w:lang w:val="en-GB" w:eastAsia="de-CH"/>
              </w:rPr>
            </w:pPr>
          </w:p>
        </w:tc>
        <w:tc>
          <w:tcPr>
            <w:tcW w:w="1256" w:type="dxa"/>
            <w:vAlign w:val="center"/>
          </w:tcPr>
          <w:p w:rsidR="00C52A47" w:rsidRPr="000A6B0A" w:rsidRDefault="00244DF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 tonne.</w:t>
            </w:r>
            <w:r w:rsidR="00C52A47" w:rsidRPr="000A6B0A">
              <w:rPr>
                <w:rFonts w:asciiTheme="minorHAnsi" w:hAnsiTheme="minorHAnsi" w:cs="Calibri"/>
                <w:sz w:val="20"/>
                <w:lang w:val="en-GB"/>
              </w:rPr>
              <w:t>km</w:t>
            </w:r>
          </w:p>
        </w:tc>
        <w:tc>
          <w:tcPr>
            <w:tcW w:w="3191"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traffic, freight traffic (electricity) and freight traffic  (diesel)</w:t>
            </w:r>
          </w:p>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Currently not charged for freight traffic. For passenger traffic this component is smal</w:t>
            </w:r>
            <w:r w:rsidR="00244DFF" w:rsidRPr="000A6B0A">
              <w:rPr>
                <w:rFonts w:asciiTheme="minorHAnsi" w:hAnsiTheme="minorHAnsi" w:cs="Calibri"/>
                <w:sz w:val="20"/>
                <w:lang w:val="en-GB"/>
              </w:rPr>
              <w:t>l (</w:t>
            </w:r>
            <w:r w:rsidRPr="000A6B0A">
              <w:rPr>
                <w:rFonts w:asciiTheme="minorHAnsi" w:hAnsiTheme="minorHAnsi" w:cs="Calibri"/>
                <w:sz w:val="20"/>
                <w:lang w:val="en-GB"/>
              </w:rPr>
              <w:t>&lt; 10 % of the basic charge</w:t>
            </w:r>
            <w:r w:rsidR="00244DFF" w:rsidRPr="000A6B0A">
              <w:rPr>
                <w:rFonts w:asciiTheme="minorHAnsi" w:hAnsiTheme="minorHAnsi" w:cs="Calibri"/>
                <w:sz w:val="20"/>
                <w:lang w:val="en-GB"/>
              </w:rPr>
              <w:t>)</w:t>
            </w:r>
          </w:p>
          <w:p w:rsidR="00C52A47" w:rsidRPr="000A6B0A" w:rsidRDefault="00C52A47" w:rsidP="0086605D">
            <w:pPr>
              <w:pStyle w:val="Tabellentextrechts"/>
              <w:spacing w:before="0" w:after="0"/>
              <w:jc w:val="center"/>
              <w:rPr>
                <w:rFonts w:asciiTheme="minorHAnsi" w:hAnsiTheme="minorHAnsi" w:cs="Calibri"/>
                <w:sz w:val="20"/>
                <w:lang w:val="en-GB"/>
              </w:rPr>
            </w:pPr>
          </w:p>
        </w:tc>
        <w:tc>
          <w:tcPr>
            <w:tcW w:w="2340"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Origin in environmental and accident costs</w:t>
            </w:r>
          </w:p>
          <w:p w:rsidR="00C52A47" w:rsidRPr="000A6B0A" w:rsidRDefault="00C52A47" w:rsidP="0086605D">
            <w:pPr>
              <w:pStyle w:val="Tabellentextrechts"/>
              <w:spacing w:before="0" w:after="0"/>
              <w:jc w:val="center"/>
              <w:rPr>
                <w:rFonts w:asciiTheme="minorHAnsi" w:hAnsiTheme="minorHAnsi" w:cs="Calibri"/>
                <w:sz w:val="20"/>
                <w:lang w:val="en-GB"/>
              </w:rPr>
            </w:pPr>
          </w:p>
        </w:tc>
      </w:tr>
      <w:tr w:rsidR="00C52A47" w:rsidRPr="00C54CEB" w:rsidTr="00C52A47">
        <w:trPr>
          <w:jc w:val="center"/>
        </w:trPr>
        <w:tc>
          <w:tcPr>
            <w:tcW w:w="1604" w:type="dxa"/>
            <w:vAlign w:val="center"/>
          </w:tcPr>
          <w:p w:rsidR="00C52A47" w:rsidRPr="000A6B0A" w:rsidRDefault="00C52A4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Investment tax</w:t>
            </w:r>
          </w:p>
        </w:tc>
        <w:tc>
          <w:tcPr>
            <w:tcW w:w="1256"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 tonne</w:t>
            </w:r>
            <w:r w:rsidR="00244DFF" w:rsidRPr="000A6B0A">
              <w:rPr>
                <w:rFonts w:asciiTheme="minorHAnsi" w:hAnsiTheme="minorHAnsi" w:cs="Calibri"/>
                <w:sz w:val="20"/>
                <w:lang w:val="en-GB"/>
              </w:rPr>
              <w:t>.</w:t>
            </w:r>
            <w:r w:rsidRPr="000A6B0A">
              <w:rPr>
                <w:rFonts w:asciiTheme="minorHAnsi" w:hAnsiTheme="minorHAnsi" w:cs="Calibri"/>
                <w:sz w:val="20"/>
                <w:lang w:val="en-GB"/>
              </w:rPr>
              <w:t>km</w:t>
            </w:r>
          </w:p>
        </w:tc>
        <w:tc>
          <w:tcPr>
            <w:tcW w:w="3191" w:type="dxa"/>
            <w:vAlign w:val="center"/>
          </w:tcPr>
          <w:p w:rsidR="00C52A47" w:rsidRPr="000A6B0A" w:rsidRDefault="00C52A47" w:rsidP="0086605D">
            <w:pPr>
              <w:pStyle w:val="Tabellentextrechts"/>
              <w:spacing w:before="0" w:after="0"/>
              <w:jc w:val="center"/>
              <w:rPr>
                <w:rFonts w:asciiTheme="minorHAnsi" w:hAnsiTheme="minorHAnsi" w:cs="Calibri"/>
                <w:color w:val="0000FF"/>
                <w:sz w:val="20"/>
                <w:lang w:val="en-GB"/>
              </w:rPr>
            </w:pPr>
            <w:r w:rsidRPr="000A6B0A">
              <w:rPr>
                <w:rFonts w:asciiTheme="minorHAnsi" w:hAnsiTheme="minorHAnsi" w:cs="Calibri"/>
                <w:sz w:val="20"/>
                <w:lang w:val="en-GB"/>
              </w:rPr>
              <w:t>No</w:t>
            </w:r>
          </w:p>
        </w:tc>
        <w:tc>
          <w:tcPr>
            <w:tcW w:w="2340" w:type="dxa"/>
            <w:vAlign w:val="center"/>
          </w:tcPr>
          <w:p w:rsidR="00BF06FD" w:rsidRPr="000A6B0A" w:rsidRDefault="00BF06FD"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B</w:t>
            </w:r>
            <w:r w:rsidRPr="000A6B0A">
              <w:rPr>
                <w:rFonts w:asciiTheme="minorHAnsi" w:hAnsiTheme="minorHAnsi" w:cs="Calibri"/>
                <w:sz w:val="20"/>
                <w:lang w:val="en-GB"/>
              </w:rPr>
              <w:t>ased on article 32.3 of directive 2012/34/EU</w:t>
            </w:r>
          </w:p>
          <w:p w:rsidR="00C52A47" w:rsidRPr="000A6B0A" w:rsidRDefault="00C52A47" w:rsidP="0086605D">
            <w:pPr>
              <w:pStyle w:val="Tabellentextrechts"/>
              <w:spacing w:before="0" w:after="0"/>
              <w:jc w:val="center"/>
              <w:rPr>
                <w:rFonts w:asciiTheme="minorHAnsi" w:hAnsiTheme="minorHAnsi" w:cs="Calibri"/>
                <w:color w:val="0000FF"/>
                <w:sz w:val="20"/>
                <w:lang w:val="en-GB"/>
              </w:rPr>
            </w:pPr>
            <w:r w:rsidRPr="000A6B0A">
              <w:rPr>
                <w:rFonts w:asciiTheme="minorHAnsi" w:hAnsiTheme="minorHAnsi" w:cs="Calibri"/>
                <w:sz w:val="20"/>
                <w:lang w:val="en-GB"/>
              </w:rPr>
              <w:t>Charged for a single rail line: Kerava – Lahti</w:t>
            </w:r>
          </w:p>
        </w:tc>
      </w:tr>
      <w:tr w:rsidR="00C52A47" w:rsidRPr="00C54CEB" w:rsidTr="00C52A47">
        <w:trPr>
          <w:jc w:val="center"/>
        </w:trPr>
        <w:tc>
          <w:tcPr>
            <w:tcW w:w="1604" w:type="dxa"/>
            <w:vAlign w:val="center"/>
          </w:tcPr>
          <w:p w:rsidR="00C52A47" w:rsidRPr="000A6B0A" w:rsidRDefault="00C52A4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Performance regime</w:t>
            </w:r>
          </w:p>
        </w:tc>
        <w:tc>
          <w:tcPr>
            <w:tcW w:w="1256" w:type="dxa"/>
            <w:vAlign w:val="center"/>
          </w:tcPr>
          <w:p w:rsidR="00C52A47" w:rsidRPr="000A6B0A" w:rsidRDefault="00C52A47" w:rsidP="0086605D">
            <w:pPr>
              <w:pStyle w:val="Tabellentextrechts"/>
              <w:spacing w:before="0" w:after="0"/>
              <w:jc w:val="center"/>
              <w:rPr>
                <w:rFonts w:asciiTheme="minorHAnsi" w:hAnsiTheme="minorHAnsi" w:cs="Calibri"/>
                <w:sz w:val="20"/>
                <w:lang w:val="en-GB"/>
              </w:rPr>
            </w:pPr>
          </w:p>
        </w:tc>
        <w:tc>
          <w:tcPr>
            <w:tcW w:w="3191" w:type="dxa"/>
            <w:vAlign w:val="center"/>
          </w:tcPr>
          <w:p w:rsidR="004D27D3" w:rsidRDefault="004D27D3" w:rsidP="0086605D">
            <w:pPr>
              <w:pStyle w:val="Tabellentextrechts"/>
              <w:spacing w:before="0" w:after="0"/>
              <w:jc w:val="left"/>
              <w:rPr>
                <w:rFonts w:asciiTheme="minorHAnsi" w:hAnsiTheme="minorHAnsi" w:cs="Calibri"/>
                <w:sz w:val="20"/>
                <w:lang w:val="en-GB"/>
              </w:rPr>
            </w:pPr>
            <w:r>
              <w:rPr>
                <w:rFonts w:asciiTheme="minorHAnsi" w:hAnsiTheme="minorHAnsi" w:cs="Calibri"/>
                <w:sz w:val="20"/>
                <w:lang w:val="en-GB"/>
              </w:rPr>
              <w:t>A rail operator compensates the Finnish Transport Agency (IM) if the operation of the rail operator essentially differs from the rail capacity allocated to it for a reason due to the operator, and such a deviation impedes the functioning of the railway system. The IM compensates a rail operator if, for reasons due to the IM, the availability of the rail network essentially differs from the rail capacity allocated to the operator, and such a deviation impedes the functioning of the railway system.</w:t>
            </w:r>
          </w:p>
          <w:p w:rsidR="00C52A47" w:rsidRPr="000A6B0A" w:rsidRDefault="00C52A47" w:rsidP="0086605D">
            <w:pPr>
              <w:pStyle w:val="Tabellentextrechts"/>
              <w:spacing w:before="0" w:after="0"/>
              <w:jc w:val="center"/>
              <w:rPr>
                <w:rFonts w:asciiTheme="minorHAnsi" w:hAnsiTheme="minorHAnsi" w:cs="Calibri"/>
                <w:sz w:val="20"/>
                <w:lang w:val="en-GB"/>
              </w:rPr>
            </w:pPr>
          </w:p>
        </w:tc>
        <w:tc>
          <w:tcPr>
            <w:tcW w:w="2340" w:type="dxa"/>
            <w:vAlign w:val="center"/>
          </w:tcPr>
          <w:p w:rsidR="00C52A47" w:rsidRPr="000A6B0A" w:rsidRDefault="00C52A47" w:rsidP="0086605D">
            <w:pPr>
              <w:pStyle w:val="Tabellentextrechts"/>
              <w:spacing w:before="0" w:after="0"/>
              <w:jc w:val="center"/>
              <w:rPr>
                <w:rFonts w:asciiTheme="minorHAnsi" w:hAnsiTheme="minorHAnsi" w:cs="Calibri"/>
                <w:color w:val="0000FF"/>
                <w:sz w:val="20"/>
                <w:lang w:val="en-GB"/>
              </w:rPr>
            </w:pPr>
          </w:p>
        </w:tc>
      </w:tr>
    </w:tbl>
    <w:p w:rsidR="00C52A47" w:rsidRPr="000A6B0A" w:rsidRDefault="00C52A47" w:rsidP="00C52A47">
      <w:pPr>
        <w:autoSpaceDE w:val="0"/>
        <w:autoSpaceDN w:val="0"/>
        <w:adjustRightInd w:val="0"/>
        <w:ind w:left="720"/>
        <w:rPr>
          <w:rFonts w:asciiTheme="minorHAnsi" w:hAnsiTheme="minorHAnsi" w:cs="Calibri"/>
          <w:sz w:val="24"/>
          <w:szCs w:val="24"/>
          <w:lang w:val="en-GB"/>
        </w:rPr>
      </w:pPr>
    </w:p>
    <w:p w:rsidR="00C52A47" w:rsidRPr="000A6B0A" w:rsidRDefault="00C52A47" w:rsidP="00B52093">
      <w:pPr>
        <w:pStyle w:val="Titre2"/>
        <w:numPr>
          <w:ilvl w:val="0"/>
          <w:numId w:val="0"/>
        </w:numPr>
        <w:tabs>
          <w:tab w:val="left" w:pos="720"/>
        </w:tabs>
        <w:jc w:val="both"/>
        <w:rPr>
          <w:rFonts w:asciiTheme="minorHAnsi" w:hAnsiTheme="minorHAnsi"/>
          <w:sz w:val="22"/>
          <w:szCs w:val="22"/>
          <w:lang w:val="en-GB"/>
        </w:rPr>
      </w:pPr>
    </w:p>
    <w:p w:rsidR="001A3238" w:rsidRPr="000A6B0A" w:rsidRDefault="001A3238" w:rsidP="001A3238">
      <w:pPr>
        <w:rPr>
          <w:lang w:val="en-GB"/>
        </w:rPr>
      </w:pPr>
    </w:p>
    <w:p w:rsidR="001A3238" w:rsidRPr="000A6B0A" w:rsidRDefault="001A3238" w:rsidP="001A3238">
      <w:pPr>
        <w:rPr>
          <w:lang w:val="en-GB"/>
        </w:rPr>
      </w:pPr>
    </w:p>
    <w:p w:rsidR="001A3238" w:rsidRPr="000A6B0A" w:rsidRDefault="001A3238" w:rsidP="001A3238">
      <w:pPr>
        <w:rPr>
          <w:lang w:val="en-GB"/>
        </w:rPr>
      </w:pPr>
    </w:p>
    <w:p w:rsidR="001A3238" w:rsidRPr="000A6B0A" w:rsidRDefault="001A3238" w:rsidP="001A3238">
      <w:pPr>
        <w:rPr>
          <w:lang w:val="en-GB"/>
        </w:rPr>
      </w:pPr>
    </w:p>
    <w:p w:rsidR="001A3238" w:rsidRPr="000A6B0A" w:rsidRDefault="001A3238" w:rsidP="001A3238">
      <w:pPr>
        <w:rPr>
          <w:lang w:val="en-GB"/>
        </w:rPr>
      </w:pPr>
    </w:p>
    <w:p w:rsidR="001A3238" w:rsidRPr="000A6B0A" w:rsidRDefault="001A3238" w:rsidP="001A3238">
      <w:pPr>
        <w:rPr>
          <w:lang w:val="en-GB"/>
        </w:rPr>
      </w:pPr>
    </w:p>
    <w:p w:rsidR="00490DD2" w:rsidRDefault="00490DD2">
      <w:pPr>
        <w:rPr>
          <w:rFonts w:asciiTheme="minorHAnsi" w:hAnsiTheme="minorHAnsi"/>
          <w:b/>
          <w:bCs/>
          <w:kern w:val="32"/>
          <w:sz w:val="22"/>
          <w:szCs w:val="22"/>
          <w:lang w:val="en-GB"/>
        </w:rPr>
      </w:pPr>
      <w:bookmarkStart w:id="50" w:name="_Toc461625129"/>
      <w:bookmarkStart w:id="51" w:name="_Toc461625231"/>
      <w:bookmarkStart w:id="52" w:name="_Toc496279025"/>
      <w:r>
        <w:rPr>
          <w:rFonts w:asciiTheme="minorHAnsi" w:hAnsiTheme="minorHAnsi"/>
          <w:sz w:val="22"/>
          <w:szCs w:val="22"/>
          <w:lang w:val="en-GB"/>
        </w:rPr>
        <w:br w:type="page"/>
      </w:r>
    </w:p>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lastRenderedPageBreak/>
        <w:t>France</w:t>
      </w:r>
      <w:bookmarkEnd w:id="50"/>
      <w:bookmarkEnd w:id="51"/>
      <w:bookmarkEnd w:id="52"/>
    </w:p>
    <w:p w:rsidR="001E3837" w:rsidRPr="000A6B0A" w:rsidRDefault="001E3837" w:rsidP="00D41647">
      <w:pPr>
        <w:ind w:left="360"/>
        <w:rPr>
          <w:rFonts w:asciiTheme="minorHAnsi" w:hAnsiTheme="minorHAnsi"/>
          <w:b/>
          <w:smallCaps/>
          <w:sz w:val="22"/>
          <w:szCs w:val="22"/>
          <w:lang w:val="en-GB"/>
        </w:rPr>
      </w:pPr>
    </w:p>
    <w:p w:rsidR="001E3837" w:rsidRPr="000A6B0A" w:rsidRDefault="001E38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France, the charging system </w:t>
      </w:r>
      <w:r w:rsidR="00984D5C" w:rsidRPr="000A6B0A">
        <w:rPr>
          <w:rFonts w:asciiTheme="minorHAnsi" w:hAnsiTheme="minorHAnsi"/>
          <w:sz w:val="22"/>
          <w:szCs w:val="22"/>
          <w:lang w:val="en-GB"/>
        </w:rPr>
        <w:t>implemented by SNCF Réseau</w:t>
      </w:r>
      <w:r w:rsidR="00984D5C" w:rsidRPr="000A6B0A">
        <w:rPr>
          <w:rStyle w:val="Appelnotedebasdep"/>
          <w:rFonts w:asciiTheme="minorHAnsi" w:hAnsiTheme="minorHAnsi"/>
          <w:sz w:val="22"/>
          <w:szCs w:val="22"/>
          <w:lang w:val="en-GB"/>
        </w:rPr>
        <w:footnoteReference w:id="85"/>
      </w:r>
      <w:r w:rsidR="00984D5C"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is based on a three-part tariff regime for </w:t>
      </w:r>
      <w:r w:rsidR="00984D5C" w:rsidRPr="000A6B0A">
        <w:rPr>
          <w:rFonts w:asciiTheme="minorHAnsi" w:hAnsiTheme="minorHAnsi"/>
          <w:sz w:val="22"/>
          <w:szCs w:val="22"/>
          <w:lang w:val="en-GB"/>
        </w:rPr>
        <w:t>activities under a public contract (</w:t>
      </w:r>
      <w:r w:rsidR="00984D5C" w:rsidRPr="000A6B0A">
        <w:rPr>
          <w:rFonts w:asciiTheme="minorHAnsi" w:hAnsiTheme="minorHAnsi"/>
          <w:i/>
          <w:sz w:val="22"/>
          <w:szCs w:val="22"/>
          <w:lang w:val="en-GB"/>
        </w:rPr>
        <w:t>e.g.</w:t>
      </w:r>
      <w:r w:rsidR="00984D5C" w:rsidRPr="000A6B0A">
        <w:rPr>
          <w:rFonts w:asciiTheme="minorHAnsi" w:hAnsiTheme="minorHAnsi"/>
          <w:sz w:val="22"/>
          <w:szCs w:val="22"/>
          <w:lang w:val="en-GB"/>
        </w:rPr>
        <w:t xml:space="preserve"> regional trains) </w:t>
      </w:r>
      <w:r w:rsidRPr="000A6B0A">
        <w:rPr>
          <w:rFonts w:asciiTheme="minorHAnsi" w:hAnsiTheme="minorHAnsi"/>
          <w:sz w:val="22"/>
          <w:szCs w:val="22"/>
          <w:lang w:val="en-GB"/>
        </w:rPr>
        <w:t>and a two-part tariff for the other activities</w:t>
      </w:r>
      <w:r w:rsidR="00244DFF" w:rsidRPr="000A6B0A">
        <w:rPr>
          <w:rFonts w:asciiTheme="minorHAnsi" w:hAnsiTheme="minorHAnsi"/>
          <w:sz w:val="22"/>
          <w:szCs w:val="22"/>
          <w:lang w:val="en-GB"/>
        </w:rPr>
        <w:t xml:space="preserve"> (</w:t>
      </w:r>
      <w:r w:rsidR="00244DFF" w:rsidRPr="000A6B0A">
        <w:rPr>
          <w:rFonts w:asciiTheme="minorHAnsi" w:hAnsiTheme="minorHAnsi"/>
          <w:i/>
          <w:sz w:val="22"/>
          <w:szCs w:val="22"/>
          <w:lang w:val="en-GB"/>
        </w:rPr>
        <w:t xml:space="preserve">e.g. </w:t>
      </w:r>
      <w:r w:rsidR="00244DFF" w:rsidRPr="000A6B0A">
        <w:rPr>
          <w:rFonts w:asciiTheme="minorHAnsi" w:hAnsiTheme="minorHAnsi"/>
          <w:sz w:val="22"/>
          <w:szCs w:val="22"/>
          <w:lang w:val="en-GB"/>
        </w:rPr>
        <w:t>high speed trains)</w:t>
      </w:r>
      <w:r w:rsidRPr="000A6B0A">
        <w:rPr>
          <w:rFonts w:asciiTheme="minorHAnsi" w:hAnsiTheme="minorHAnsi"/>
          <w:sz w:val="22"/>
          <w:szCs w:val="22"/>
          <w:lang w:val="en-GB"/>
        </w:rPr>
        <w:t>.</w:t>
      </w:r>
      <w:r w:rsidR="00DE6E83" w:rsidRPr="000A6B0A">
        <w:rPr>
          <w:rFonts w:asciiTheme="minorHAnsi" w:hAnsiTheme="minorHAnsi"/>
          <w:sz w:val="22"/>
          <w:szCs w:val="22"/>
          <w:lang w:val="en-GB"/>
        </w:rPr>
        <w:t xml:space="preserve"> An additional charge is applied in both cases but only to trains using electric traction facilities.</w:t>
      </w:r>
    </w:p>
    <w:p w:rsidR="001E3837" w:rsidRPr="000A6B0A" w:rsidRDefault="001E3837" w:rsidP="0086605D">
      <w:pPr>
        <w:spacing w:line="276" w:lineRule="auto"/>
        <w:ind w:left="720"/>
        <w:jc w:val="both"/>
        <w:rPr>
          <w:rFonts w:asciiTheme="minorHAnsi" w:hAnsiTheme="minorHAnsi"/>
          <w:sz w:val="22"/>
          <w:szCs w:val="22"/>
          <w:lang w:val="en-GB"/>
        </w:rPr>
      </w:pPr>
    </w:p>
    <w:p w:rsidR="001E3837" w:rsidRPr="000A6B0A" w:rsidRDefault="00976A6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As defined in the French Decree No. 97-446 of 5 May 1997(amended), t</w:t>
      </w:r>
      <w:r w:rsidR="00244DFF" w:rsidRPr="000A6B0A">
        <w:rPr>
          <w:rFonts w:asciiTheme="minorHAnsi" w:hAnsiTheme="minorHAnsi"/>
          <w:sz w:val="22"/>
          <w:szCs w:val="22"/>
          <w:lang w:val="en-GB"/>
        </w:rPr>
        <w:t xml:space="preserve">he current charging system </w:t>
      </w:r>
      <w:r w:rsidR="001E3837" w:rsidRPr="000A6B0A">
        <w:rPr>
          <w:rFonts w:asciiTheme="minorHAnsi" w:hAnsiTheme="minorHAnsi"/>
          <w:sz w:val="22"/>
          <w:szCs w:val="22"/>
          <w:lang w:val="en-GB"/>
        </w:rPr>
        <w:t xml:space="preserve">includes </w:t>
      </w:r>
      <w:r w:rsidR="00E27140" w:rsidRPr="000A6B0A">
        <w:rPr>
          <w:rFonts w:asciiTheme="minorHAnsi" w:hAnsiTheme="minorHAnsi"/>
          <w:sz w:val="22"/>
          <w:szCs w:val="22"/>
          <w:lang w:val="en-GB"/>
        </w:rPr>
        <w:t>running</w:t>
      </w:r>
      <w:r w:rsidR="001E3837" w:rsidRPr="000A6B0A">
        <w:rPr>
          <w:rFonts w:asciiTheme="minorHAnsi" w:hAnsiTheme="minorHAnsi"/>
          <w:sz w:val="22"/>
          <w:szCs w:val="22"/>
          <w:lang w:val="en-GB"/>
        </w:rPr>
        <w:t xml:space="preserve"> charges, reservation charges and access charges (only for </w:t>
      </w:r>
      <w:r w:rsidR="00E27140" w:rsidRPr="000A6B0A">
        <w:rPr>
          <w:rFonts w:asciiTheme="minorHAnsi" w:hAnsiTheme="minorHAnsi"/>
          <w:sz w:val="22"/>
          <w:szCs w:val="22"/>
          <w:lang w:val="en-GB"/>
        </w:rPr>
        <w:t>activities under a public contract</w:t>
      </w:r>
      <w:r w:rsidR="001E3837" w:rsidRPr="000A6B0A">
        <w:rPr>
          <w:rFonts w:asciiTheme="minorHAnsi" w:hAnsiTheme="minorHAnsi"/>
          <w:sz w:val="22"/>
          <w:szCs w:val="22"/>
          <w:lang w:val="en-GB"/>
        </w:rPr>
        <w:t>).</w:t>
      </w:r>
      <w:r w:rsidR="001E3837" w:rsidRPr="000A6B0A" w:rsidDel="001E34D8">
        <w:rPr>
          <w:rFonts w:asciiTheme="minorHAnsi" w:hAnsiTheme="minorHAnsi"/>
          <w:sz w:val="22"/>
          <w:szCs w:val="22"/>
          <w:lang w:val="en-GB"/>
        </w:rPr>
        <w:t xml:space="preserve"> </w:t>
      </w:r>
      <w:r w:rsidR="00DE6E83" w:rsidRPr="000A6B0A">
        <w:rPr>
          <w:rFonts w:asciiTheme="minorHAnsi" w:hAnsiTheme="minorHAnsi"/>
          <w:sz w:val="22"/>
          <w:szCs w:val="22"/>
          <w:lang w:val="en-GB"/>
        </w:rPr>
        <w:t>As of 2016, a charge for the use of electric traction facilities, corresponding to the variable costs of using electrical traction facilities, was added to the charges reflecting the minimum access package.</w:t>
      </w:r>
    </w:p>
    <w:p w:rsidR="00123FBF" w:rsidRDefault="00123FBF" w:rsidP="0086605D">
      <w:pPr>
        <w:spacing w:line="276" w:lineRule="auto"/>
        <w:jc w:val="both"/>
        <w:rPr>
          <w:rFonts w:asciiTheme="minorHAnsi" w:hAnsiTheme="minorHAnsi"/>
          <w:sz w:val="22"/>
          <w:szCs w:val="22"/>
          <w:lang w:val="en-GB"/>
        </w:rPr>
      </w:pPr>
    </w:p>
    <w:p w:rsidR="00A01436" w:rsidRPr="000A6B0A" w:rsidRDefault="00A01436" w:rsidP="0086605D">
      <w:pPr>
        <w:spacing w:line="276" w:lineRule="auto"/>
        <w:jc w:val="both"/>
        <w:rPr>
          <w:rFonts w:asciiTheme="minorHAnsi" w:hAnsiTheme="minorHAnsi"/>
          <w:sz w:val="22"/>
          <w:szCs w:val="22"/>
          <w:lang w:val="en-GB"/>
        </w:rPr>
      </w:pPr>
      <w:r>
        <w:rPr>
          <w:rFonts w:asciiTheme="minorHAnsi" w:hAnsiTheme="minorHAnsi"/>
          <w:sz w:val="22"/>
          <w:szCs w:val="22"/>
          <w:lang w:val="en-GB"/>
        </w:rPr>
        <w:t>A new charging system</w:t>
      </w:r>
      <w:r w:rsidR="00763931">
        <w:rPr>
          <w:rFonts w:asciiTheme="minorHAnsi" w:hAnsiTheme="minorHAnsi"/>
          <w:sz w:val="22"/>
          <w:szCs w:val="22"/>
          <w:lang w:val="en-GB"/>
        </w:rPr>
        <w:t>, requested by the regulator in 2015,</w:t>
      </w:r>
      <w:r>
        <w:rPr>
          <w:rFonts w:asciiTheme="minorHAnsi" w:hAnsiTheme="minorHAnsi"/>
          <w:sz w:val="22"/>
          <w:szCs w:val="22"/>
          <w:lang w:val="en-GB"/>
        </w:rPr>
        <w:t xml:space="preserve"> will be put in place for timetable 2019. As for timetable 2018, </w:t>
      </w:r>
      <w:r w:rsidR="00763931">
        <w:rPr>
          <w:rFonts w:asciiTheme="minorHAnsi" w:hAnsiTheme="minorHAnsi"/>
          <w:sz w:val="22"/>
          <w:szCs w:val="22"/>
          <w:lang w:val="en-GB"/>
        </w:rPr>
        <w:t>the following table details</w:t>
      </w:r>
      <w:r>
        <w:rPr>
          <w:rFonts w:asciiTheme="minorHAnsi" w:hAnsiTheme="minorHAnsi"/>
          <w:sz w:val="22"/>
          <w:szCs w:val="22"/>
          <w:lang w:val="en-GB"/>
        </w:rPr>
        <w:t xml:space="preserve"> the current charges:</w:t>
      </w:r>
    </w:p>
    <w:p w:rsidR="001E3837" w:rsidRPr="000A6B0A" w:rsidRDefault="001E3837" w:rsidP="00AC5C05">
      <w:pPr>
        <w:ind w:left="720"/>
        <w:jc w:val="both"/>
        <w:rPr>
          <w:rFonts w:asciiTheme="minorHAnsi" w:hAnsiTheme="minorHAnsi" w:cs="Calibri"/>
          <w:color w:val="008000"/>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276"/>
        <w:gridCol w:w="3049"/>
        <w:gridCol w:w="2340"/>
      </w:tblGrid>
      <w:tr w:rsidR="002822DF" w:rsidRPr="00C54CEB" w:rsidTr="00AC5C05">
        <w:trPr>
          <w:jc w:val="center"/>
        </w:trPr>
        <w:tc>
          <w:tcPr>
            <w:tcW w:w="131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276"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049" w:type="dxa"/>
            <w:shd w:val="pct50" w:color="auto" w:fill="auto"/>
            <w:vAlign w:val="center"/>
          </w:tcPr>
          <w:p w:rsidR="00976A6C" w:rsidRPr="000A6B0A" w:rsidRDefault="002822DF" w:rsidP="0086605D">
            <w:pPr>
              <w:pStyle w:val="Tabellenkopf"/>
              <w:spacing w:before="0" w:after="0"/>
              <w:jc w:val="center"/>
              <w:rPr>
                <w:lang w:val="en-GB"/>
              </w:rPr>
            </w:pPr>
            <w:r w:rsidRPr="000A6B0A">
              <w:rPr>
                <w:rFonts w:asciiTheme="minorHAnsi" w:hAnsiTheme="minorHAnsi" w:cs="Calibri"/>
                <w:b/>
                <w:color w:val="FFFFFF"/>
                <w:sz w:val="20"/>
                <w:lang w:val="en-GB"/>
              </w:rPr>
              <w:t>Differentiation</w:t>
            </w:r>
            <w:r w:rsidR="00976A6C" w:rsidRPr="000A6B0A">
              <w:rPr>
                <w:rFonts w:asciiTheme="minorHAnsi" w:hAnsiTheme="minorHAnsi" w:cs="Calibri"/>
                <w:b/>
                <w:color w:val="FFFFFF"/>
                <w:sz w:val="20"/>
                <w:lang w:val="en-GB"/>
              </w:rPr>
              <w:br/>
            </w:r>
            <w:r w:rsidR="00976A6C" w:rsidRPr="000A6B0A">
              <w:rPr>
                <w:rFonts w:asciiTheme="minorHAnsi" w:hAnsiTheme="minorHAnsi"/>
                <w:color w:val="FFFFFF" w:themeColor="background1"/>
                <w:sz w:val="16"/>
                <w:szCs w:val="16"/>
                <w:lang w:val="en-GB"/>
              </w:rPr>
              <w:t>(as implemented by SNCF Réseau in the Network Statement for 201</w:t>
            </w:r>
            <w:r w:rsidR="009C767D">
              <w:rPr>
                <w:rFonts w:asciiTheme="minorHAnsi" w:hAnsiTheme="minorHAnsi"/>
                <w:color w:val="FFFFFF" w:themeColor="background1"/>
                <w:sz w:val="16"/>
                <w:szCs w:val="16"/>
                <w:lang w:val="en-GB"/>
              </w:rPr>
              <w:t>7</w:t>
            </w:r>
            <w:r w:rsidR="00976A6C" w:rsidRPr="000A6B0A">
              <w:rPr>
                <w:rFonts w:asciiTheme="minorHAnsi" w:hAnsiTheme="minorHAnsi"/>
                <w:color w:val="FFFFFF" w:themeColor="background1"/>
                <w:sz w:val="16"/>
                <w:szCs w:val="16"/>
                <w:lang w:val="en-GB"/>
              </w:rPr>
              <w:t>)</w:t>
            </w:r>
          </w:p>
        </w:tc>
        <w:tc>
          <w:tcPr>
            <w:tcW w:w="2340" w:type="dxa"/>
            <w:shd w:val="pct50" w:color="auto" w:fill="auto"/>
            <w:vAlign w:val="center"/>
          </w:tcPr>
          <w:p w:rsidR="00976A6C" w:rsidRPr="000A6B0A" w:rsidRDefault="002822DF" w:rsidP="0086605D">
            <w:pPr>
              <w:pStyle w:val="Tabellenkopf"/>
              <w:spacing w:before="0" w:after="0"/>
              <w:jc w:val="center"/>
              <w:rPr>
                <w:rFonts w:asciiTheme="minorHAnsi" w:hAnsiTheme="minorHAnsi"/>
                <w:color w:val="FFFFFF" w:themeColor="background1"/>
                <w:sz w:val="16"/>
                <w:szCs w:val="16"/>
                <w:lang w:val="en-GB"/>
              </w:rPr>
            </w:pPr>
            <w:r w:rsidRPr="000A6B0A">
              <w:rPr>
                <w:rFonts w:asciiTheme="minorHAnsi" w:hAnsiTheme="minorHAnsi" w:cs="Calibri"/>
                <w:b/>
                <w:color w:val="FFFFFF"/>
                <w:sz w:val="20"/>
                <w:lang w:val="en-GB"/>
              </w:rPr>
              <w:t>Cost covered</w:t>
            </w:r>
            <w:r w:rsidR="00976A6C" w:rsidRPr="000A6B0A">
              <w:rPr>
                <w:rFonts w:asciiTheme="minorHAnsi" w:hAnsiTheme="minorHAnsi" w:cs="Calibri"/>
                <w:b/>
                <w:color w:val="FFFFFF"/>
                <w:sz w:val="20"/>
                <w:lang w:val="en-GB"/>
              </w:rPr>
              <w:br/>
            </w:r>
            <w:r w:rsidR="00976A6C" w:rsidRPr="000A6B0A">
              <w:rPr>
                <w:rFonts w:asciiTheme="minorHAnsi" w:hAnsiTheme="minorHAnsi"/>
                <w:color w:val="FFFFFF" w:themeColor="background1"/>
                <w:sz w:val="16"/>
                <w:szCs w:val="16"/>
                <w:lang w:val="en-GB"/>
              </w:rPr>
              <w:t>(as laid down in Decree No. 97-446 of 5 May 1997)</w:t>
            </w:r>
          </w:p>
        </w:tc>
      </w:tr>
      <w:tr w:rsidR="001E3837" w:rsidRPr="00C54CEB" w:rsidTr="00AC5C05">
        <w:trPr>
          <w:jc w:val="center"/>
        </w:trPr>
        <w:tc>
          <w:tcPr>
            <w:tcW w:w="1310" w:type="dxa"/>
            <w:vAlign w:val="center"/>
          </w:tcPr>
          <w:p w:rsidR="001E3837" w:rsidRPr="000A6B0A" w:rsidRDefault="0071657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Running</w:t>
            </w:r>
            <w:r w:rsidR="001E3837" w:rsidRPr="000A6B0A">
              <w:rPr>
                <w:rFonts w:asciiTheme="minorHAnsi" w:hAnsiTheme="minorHAnsi" w:cs="Calibri"/>
                <w:b/>
                <w:sz w:val="20"/>
                <w:lang w:val="en-GB"/>
              </w:rPr>
              <w:t xml:space="preserve"> charge</w:t>
            </w:r>
          </w:p>
        </w:tc>
        <w:tc>
          <w:tcPr>
            <w:tcW w:w="1276" w:type="dxa"/>
            <w:vAlign w:val="center"/>
          </w:tcPr>
          <w:p w:rsidR="001E3837" w:rsidRPr="000A6B0A" w:rsidRDefault="00244DF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w:t>
            </w:r>
            <w:r w:rsidR="001E3837" w:rsidRPr="000A6B0A">
              <w:rPr>
                <w:rFonts w:asciiTheme="minorHAnsi" w:hAnsiTheme="minorHAnsi" w:cs="Calibri"/>
                <w:sz w:val="20"/>
                <w:lang w:val="en-GB"/>
              </w:rPr>
              <w:t>km</w:t>
            </w:r>
          </w:p>
        </w:tc>
        <w:tc>
          <w:tcPr>
            <w:tcW w:w="3049" w:type="dxa"/>
            <w:vAlign w:val="center"/>
          </w:tcPr>
          <w:p w:rsidR="001E3837" w:rsidRPr="000A6B0A" w:rsidRDefault="0071657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Type of service/train</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The charge is issued only if the reserved path is run</w:t>
            </w:r>
          </w:p>
        </w:tc>
        <w:tc>
          <w:tcPr>
            <w:tcW w:w="2340" w:type="dxa"/>
            <w:vAlign w:val="center"/>
          </w:tcPr>
          <w:p w:rsidR="001E3837" w:rsidRPr="000A6B0A" w:rsidRDefault="00976A6C" w:rsidP="0086605D">
            <w:pPr>
              <w:pStyle w:val="Tabellentextrechts"/>
              <w:spacing w:before="0" w:after="0"/>
              <w:jc w:val="center"/>
              <w:rPr>
                <w:rFonts w:asciiTheme="minorHAnsi" w:hAnsiTheme="minorHAnsi" w:cs="Calibri"/>
                <w:sz w:val="20"/>
                <w:lang w:val="en-GB"/>
              </w:rPr>
            </w:pPr>
            <w:r w:rsidRPr="000A6B0A">
              <w:rPr>
                <w:rFonts w:ascii="Calibri" w:hAnsi="Calibri" w:cs="Calibri"/>
                <w:sz w:val="20"/>
                <w:lang w:val="en-GB"/>
              </w:rPr>
              <w:t>Variable</w:t>
            </w:r>
            <w:r w:rsidR="00DB41B6" w:rsidRPr="000A6B0A">
              <w:rPr>
                <w:rFonts w:asciiTheme="minorHAnsi" w:hAnsiTheme="minorHAnsi" w:cs="Calibri"/>
                <w:sz w:val="20"/>
                <w:lang w:val="en-GB"/>
              </w:rPr>
              <w:t xml:space="preserve"> </w:t>
            </w:r>
            <w:r w:rsidR="001E3837" w:rsidRPr="000A6B0A">
              <w:rPr>
                <w:rFonts w:asciiTheme="minorHAnsi" w:hAnsiTheme="minorHAnsi" w:cs="Calibri"/>
                <w:sz w:val="20"/>
                <w:lang w:val="en-GB"/>
              </w:rPr>
              <w:t>cost</w:t>
            </w:r>
            <w:r w:rsidRPr="000A6B0A">
              <w:rPr>
                <w:rFonts w:asciiTheme="minorHAnsi" w:hAnsiTheme="minorHAnsi" w:cs="Calibri"/>
                <w:sz w:val="20"/>
                <w:lang w:val="en-GB"/>
              </w:rPr>
              <w:t>s</w:t>
            </w:r>
            <w:r w:rsidR="001E3837" w:rsidRPr="000A6B0A">
              <w:rPr>
                <w:rFonts w:asciiTheme="minorHAnsi" w:hAnsiTheme="minorHAnsi" w:cs="Calibri"/>
                <w:sz w:val="20"/>
                <w:lang w:val="en-GB"/>
              </w:rPr>
              <w:t xml:space="preserve"> for operating, maintenance and renewal</w:t>
            </w:r>
          </w:p>
        </w:tc>
      </w:tr>
      <w:tr w:rsidR="001E3837" w:rsidRPr="00C54CEB" w:rsidTr="00AC5C05">
        <w:trPr>
          <w:jc w:val="center"/>
        </w:trPr>
        <w:tc>
          <w:tcPr>
            <w:tcW w:w="1310"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Access charge</w:t>
            </w:r>
          </w:p>
        </w:tc>
        <w:tc>
          <w:tcPr>
            <w:tcW w:w="127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€/year</w:t>
            </w:r>
          </w:p>
        </w:tc>
        <w:tc>
          <w:tcPr>
            <w:tcW w:w="3049" w:type="dxa"/>
            <w:vAlign w:val="center"/>
          </w:tcPr>
          <w:p w:rsidR="001E3837" w:rsidRPr="000A6B0A" w:rsidRDefault="00E27140"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Only for activities under a public contract</w:t>
            </w:r>
            <w:r w:rsidR="001E3837" w:rsidRPr="000A6B0A">
              <w:rPr>
                <w:rFonts w:asciiTheme="minorHAnsi" w:hAnsiTheme="minorHAnsi" w:cs="Calibri"/>
                <w:sz w:val="20"/>
                <w:lang w:val="en-GB"/>
              </w:rPr>
              <w:br/>
              <w:t xml:space="preserve">(TER, Transilien and TET) </w:t>
            </w: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Fixed cost</w:t>
            </w:r>
            <w:r w:rsidR="00976A6C" w:rsidRPr="000A6B0A">
              <w:rPr>
                <w:rFonts w:asciiTheme="minorHAnsi" w:hAnsiTheme="minorHAnsi" w:cs="Calibri"/>
                <w:sz w:val="20"/>
                <w:lang w:val="en-GB"/>
              </w:rPr>
              <w:t>s</w:t>
            </w:r>
            <w:r w:rsidRPr="000A6B0A">
              <w:rPr>
                <w:rFonts w:asciiTheme="minorHAnsi" w:hAnsiTheme="minorHAnsi" w:cs="Calibri"/>
                <w:sz w:val="20"/>
                <w:lang w:val="en-GB"/>
              </w:rPr>
              <w:t xml:space="preserve"> for operating, maintenance and renewal</w:t>
            </w:r>
          </w:p>
        </w:tc>
      </w:tr>
      <w:tr w:rsidR="001E3837" w:rsidRPr="00C54CEB" w:rsidTr="00AC5C05">
        <w:trPr>
          <w:jc w:val="center"/>
        </w:trPr>
        <w:tc>
          <w:tcPr>
            <w:tcW w:w="1310"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Reservation</w:t>
            </w:r>
          </w:p>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Charge</w:t>
            </w:r>
          </w:p>
        </w:tc>
        <w:tc>
          <w:tcPr>
            <w:tcW w:w="1276"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path.km</w:t>
            </w:r>
          </w:p>
        </w:tc>
        <w:tc>
          <w:tcPr>
            <w:tcW w:w="3049" w:type="dxa"/>
            <w:vAlign w:val="center"/>
          </w:tcPr>
          <w:p w:rsidR="001E3837" w:rsidRPr="000A6B0A" w:rsidRDefault="0071657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Period of the day </w:t>
            </w:r>
          </w:p>
          <w:p w:rsidR="001E3837" w:rsidRPr="000A6B0A" w:rsidRDefault="0071657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Route category </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Crossing Paris area or not on high speed lines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Regional routes on high speed lines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Speed (freight)</w:t>
            </w:r>
            <w:r w:rsidR="00976A6C" w:rsidRPr="000A6B0A">
              <w:rPr>
                <w:rFonts w:asciiTheme="minorHAnsi" w:hAnsiTheme="minorHAnsi" w:cs="Calibri"/>
                <w:sz w:val="20"/>
                <w:lang w:val="en-GB"/>
              </w:rPr>
              <w:br/>
              <w:t>High speed trains  where the origin (destination) is or not Switzerland</w:t>
            </w:r>
          </w:p>
        </w:tc>
        <w:tc>
          <w:tcPr>
            <w:tcW w:w="234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0-100% of the cost of capital </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Mark-ups “</w:t>
            </w:r>
            <w:r w:rsidRPr="000A6B0A">
              <w:rPr>
                <w:rFonts w:asciiTheme="minorHAnsi" w:hAnsiTheme="minorHAnsi" w:cs="Calibri"/>
                <w:i/>
                <w:sz w:val="20"/>
                <w:lang w:val="en-GB"/>
              </w:rPr>
              <w:t>if the market can bear this</w:t>
            </w:r>
            <w:r w:rsidRPr="000A6B0A">
              <w:rPr>
                <w:rFonts w:asciiTheme="minorHAnsi" w:hAnsiTheme="minorHAnsi" w:cs="Calibri"/>
                <w:sz w:val="20"/>
                <w:lang w:val="en-GB"/>
              </w:rPr>
              <w:t>”</w:t>
            </w:r>
          </w:p>
          <w:p w:rsidR="001E3837" w:rsidRPr="000A6B0A" w:rsidRDefault="00E27140"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w:t>
            </w:r>
            <w:r w:rsidR="001E3837" w:rsidRPr="000A6B0A">
              <w:rPr>
                <w:rFonts w:asciiTheme="minorHAnsi" w:hAnsiTheme="minorHAnsi" w:cs="Calibri"/>
                <w:sz w:val="20"/>
                <w:lang w:val="en-GB"/>
              </w:rPr>
              <w:t>osts</w:t>
            </w:r>
            <w:r w:rsidRPr="000A6B0A">
              <w:rPr>
                <w:rFonts w:asciiTheme="minorHAnsi" w:hAnsiTheme="minorHAnsi" w:cs="Calibri"/>
                <w:sz w:val="20"/>
                <w:lang w:val="en-GB"/>
              </w:rPr>
              <w:t xml:space="preserve"> related to capacity constraints</w:t>
            </w:r>
          </w:p>
        </w:tc>
      </w:tr>
      <w:tr w:rsidR="00123FBF" w:rsidRPr="00C54CEB" w:rsidTr="00AC5C05">
        <w:trPr>
          <w:jc w:val="center"/>
        </w:trPr>
        <w:tc>
          <w:tcPr>
            <w:tcW w:w="1310" w:type="dxa"/>
            <w:vAlign w:val="center"/>
          </w:tcPr>
          <w:p w:rsidR="00123FBF" w:rsidRPr="000A6B0A" w:rsidRDefault="00123FBF">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Charge for the use of electric traction facilities (RCE)</w:t>
            </w:r>
          </w:p>
        </w:tc>
        <w:tc>
          <w:tcPr>
            <w:tcW w:w="1276" w:type="dxa"/>
            <w:vAlign w:val="center"/>
          </w:tcPr>
          <w:p w:rsidR="00123FBF" w:rsidRPr="000A6B0A" w:rsidRDefault="00123FB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€/train.km</w:t>
            </w:r>
          </w:p>
        </w:tc>
        <w:tc>
          <w:tcPr>
            <w:tcW w:w="3049" w:type="dxa"/>
            <w:vAlign w:val="center"/>
          </w:tcPr>
          <w:p w:rsidR="00123FBF" w:rsidRPr="000A6B0A" w:rsidRDefault="00123FB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This charge is only applied to trains using the electric traction facilities</w:t>
            </w:r>
          </w:p>
        </w:tc>
        <w:tc>
          <w:tcPr>
            <w:tcW w:w="2340" w:type="dxa"/>
            <w:vAlign w:val="center"/>
          </w:tcPr>
          <w:p w:rsidR="00123FBF" w:rsidRPr="000A6B0A" w:rsidRDefault="00123FBF"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Charge corresponding to the variable portion of costs for using electrical </w:t>
            </w:r>
            <w:r w:rsidR="008E2ABC" w:rsidRPr="000A6B0A">
              <w:rPr>
                <w:rFonts w:asciiTheme="minorHAnsi" w:hAnsiTheme="minorHAnsi" w:cs="Calibri"/>
                <w:sz w:val="20"/>
                <w:lang w:val="en-GB"/>
              </w:rPr>
              <w:t xml:space="preserve">traction </w:t>
            </w:r>
            <w:r w:rsidRPr="000A6B0A">
              <w:rPr>
                <w:rFonts w:asciiTheme="minorHAnsi" w:hAnsiTheme="minorHAnsi" w:cs="Calibri"/>
                <w:sz w:val="20"/>
                <w:lang w:val="en-GB"/>
              </w:rPr>
              <w:t>facilities</w:t>
            </w:r>
          </w:p>
        </w:tc>
      </w:tr>
      <w:tr w:rsidR="008E2ABC" w:rsidRPr="00C54CEB" w:rsidTr="00AC5C05">
        <w:trPr>
          <w:jc w:val="center"/>
        </w:trPr>
        <w:tc>
          <w:tcPr>
            <w:tcW w:w="1310" w:type="dxa"/>
            <w:vAlign w:val="center"/>
          </w:tcPr>
          <w:p w:rsidR="008E2ABC" w:rsidRPr="000A6B0A" w:rsidRDefault="008E2ABC">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Performance regime</w:t>
            </w:r>
          </w:p>
        </w:tc>
        <w:tc>
          <w:tcPr>
            <w:tcW w:w="1276" w:type="dxa"/>
            <w:vAlign w:val="center"/>
          </w:tcPr>
          <w:p w:rsidR="008E2ABC" w:rsidRPr="000A6B0A" w:rsidRDefault="008E2AB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€/minute</w:t>
            </w:r>
          </w:p>
        </w:tc>
        <w:tc>
          <w:tcPr>
            <w:tcW w:w="3049" w:type="dxa"/>
            <w:vAlign w:val="center"/>
          </w:tcPr>
          <w:p w:rsidR="008E2ABC" w:rsidRPr="000A6B0A" w:rsidRDefault="008E2ABC" w:rsidP="0086605D">
            <w:pPr>
              <w:pStyle w:val="Tabellentextrechts"/>
              <w:spacing w:before="0" w:after="0"/>
              <w:jc w:val="center"/>
              <w:rPr>
                <w:rFonts w:asciiTheme="minorHAnsi" w:hAnsiTheme="minorHAnsi" w:cs="Calibri"/>
                <w:sz w:val="20"/>
                <w:lang w:val="en-GB"/>
              </w:rPr>
            </w:pPr>
          </w:p>
        </w:tc>
        <w:tc>
          <w:tcPr>
            <w:tcW w:w="2340" w:type="dxa"/>
            <w:vAlign w:val="center"/>
          </w:tcPr>
          <w:p w:rsidR="008E2ABC" w:rsidRPr="000A6B0A" w:rsidRDefault="008E2AB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Penalties for disrupting the operation of the network and compensation for actors which suffer from disruptions</w:t>
            </w:r>
          </w:p>
        </w:tc>
      </w:tr>
    </w:tbl>
    <w:p w:rsidR="00235662" w:rsidRPr="000A6B0A" w:rsidRDefault="00235662" w:rsidP="0086605D">
      <w:pPr>
        <w:pStyle w:val="Titre2"/>
        <w:numPr>
          <w:ilvl w:val="0"/>
          <w:numId w:val="0"/>
        </w:numPr>
        <w:tabs>
          <w:tab w:val="left" w:pos="720"/>
        </w:tabs>
        <w:jc w:val="both"/>
        <w:rPr>
          <w:rFonts w:asciiTheme="minorHAnsi" w:hAnsiTheme="minorHAnsi" w:cs="Calibri"/>
          <w:lang w:val="en-GB"/>
        </w:rPr>
      </w:pPr>
      <w:bookmarkStart w:id="53" w:name="_Toc337456063"/>
    </w:p>
    <w:p w:rsidR="00235662" w:rsidRPr="000A6B0A" w:rsidRDefault="00235662" w:rsidP="00E561FB">
      <w:pPr>
        <w:pStyle w:val="Titre1"/>
        <w:numPr>
          <w:ilvl w:val="1"/>
          <w:numId w:val="13"/>
        </w:numPr>
        <w:spacing w:line="276" w:lineRule="auto"/>
        <w:jc w:val="both"/>
        <w:rPr>
          <w:rFonts w:asciiTheme="minorHAnsi" w:hAnsiTheme="minorHAnsi"/>
          <w:sz w:val="22"/>
          <w:szCs w:val="22"/>
          <w:lang w:val="en-GB"/>
        </w:rPr>
      </w:pPr>
      <w:bookmarkStart w:id="54" w:name="_Toc461625130"/>
      <w:bookmarkStart w:id="55" w:name="_Toc461625232"/>
      <w:bookmarkStart w:id="56" w:name="_Toc496279026"/>
      <w:r w:rsidRPr="000A6B0A">
        <w:rPr>
          <w:rFonts w:asciiTheme="minorHAnsi" w:hAnsiTheme="minorHAnsi"/>
          <w:sz w:val="22"/>
          <w:szCs w:val="22"/>
          <w:lang w:val="en-GB"/>
        </w:rPr>
        <w:t>Germany</w:t>
      </w:r>
      <w:bookmarkEnd w:id="53"/>
      <w:bookmarkEnd w:id="54"/>
      <w:bookmarkEnd w:id="55"/>
      <w:bookmarkEnd w:id="56"/>
    </w:p>
    <w:p w:rsidR="00235662" w:rsidRPr="000A6B0A" w:rsidRDefault="00235662" w:rsidP="00235662">
      <w:pPr>
        <w:rPr>
          <w:rFonts w:asciiTheme="minorHAnsi" w:hAnsiTheme="minorHAnsi" w:cs="Calibri"/>
          <w:b/>
          <w:smallCaps/>
          <w:sz w:val="24"/>
          <w:szCs w:val="24"/>
          <w:lang w:val="en-GB"/>
        </w:rPr>
      </w:pPr>
    </w:p>
    <w:p w:rsidR="002A2503" w:rsidRDefault="002A2503" w:rsidP="0086605D">
      <w:pPr>
        <w:spacing w:line="276" w:lineRule="auto"/>
        <w:jc w:val="both"/>
        <w:rPr>
          <w:rFonts w:asciiTheme="minorHAnsi" w:hAnsiTheme="minorHAnsi"/>
          <w:sz w:val="22"/>
          <w:szCs w:val="22"/>
          <w:lang w:val="en-GB"/>
        </w:rPr>
      </w:pPr>
      <w:r>
        <w:rPr>
          <w:rFonts w:asciiTheme="minorHAnsi" w:hAnsiTheme="minorHAnsi"/>
          <w:sz w:val="22"/>
          <w:szCs w:val="22"/>
          <w:lang w:val="en-GB"/>
        </w:rPr>
        <w:t>The following description is valid for the track access pricing scheme 2018. For 2018 many elements changed due to the transposition of the recast into German law in 2016.</w:t>
      </w:r>
    </w:p>
    <w:p w:rsidR="002A2503" w:rsidRDefault="002A2503" w:rsidP="0086605D">
      <w:pPr>
        <w:spacing w:line="276" w:lineRule="auto"/>
        <w:jc w:val="both"/>
        <w:rPr>
          <w:rFonts w:asciiTheme="minorHAnsi" w:hAnsiTheme="minorHAnsi"/>
          <w:sz w:val="22"/>
          <w:szCs w:val="22"/>
          <w:lang w:val="en-GB"/>
        </w:rPr>
      </w:pPr>
      <w:r>
        <w:rPr>
          <w:rFonts w:asciiTheme="minorHAnsi" w:hAnsiTheme="minorHAnsi"/>
          <w:sz w:val="22"/>
          <w:szCs w:val="22"/>
          <w:lang w:val="en-GB"/>
        </w:rPr>
        <w:br/>
        <w:t>The charging system for the minimum access package comprises a charging element covering the direct costs of a train run and further components. As the direct costs only cover a smaller part of the total costs, mark-ups are levied. When defining direct cost based charges and the mark-ups users are divided into market segments and charged considering their competitiveness. Further elements of the pricing scheme are the new traffic discount, a charge for issuing an offer, a charge for movements outside line operations and incentives, penalty payments (such as compensations for additional train path costs for work-related rail freight transport diversions in the working timetable, reduced charges for non-contractual conditions/reductions upon request, charging arrangements for diversions due to construction work after conclusion of the individual usage agreement, charging arrangements for rail replacement services or emergency bus services) and charges for amendments of allocated train paths and cancellations. The charging unit is the train path kilometre.</w:t>
      </w:r>
    </w:p>
    <w:p w:rsidR="002A2503" w:rsidRDefault="002A2503" w:rsidP="002A2503">
      <w:pPr>
        <w:jc w:val="both"/>
        <w:rPr>
          <w:rFonts w:asciiTheme="minorHAnsi" w:hAnsiTheme="minorHAnsi"/>
          <w:sz w:val="22"/>
          <w:szCs w:val="22"/>
          <w:lang w:val="en-GB"/>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417"/>
        <w:gridCol w:w="4395"/>
        <w:gridCol w:w="1702"/>
      </w:tblGrid>
      <w:tr w:rsidR="002A2503" w:rsidTr="002A2503">
        <w:trPr>
          <w:jc w:val="center"/>
        </w:trPr>
        <w:tc>
          <w:tcPr>
            <w:tcW w:w="1530"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A2503" w:rsidRDefault="002A2503" w:rsidP="0086605D">
            <w:pPr>
              <w:pStyle w:val="Tabellenkopf"/>
              <w:spacing w:before="0" w:after="0"/>
              <w:jc w:val="center"/>
              <w:rPr>
                <w:rFonts w:asciiTheme="minorHAnsi" w:hAnsiTheme="minorHAnsi" w:cs="Calibri"/>
                <w:b/>
                <w:color w:val="FFFFFF" w:themeColor="background1"/>
                <w:sz w:val="20"/>
                <w:lang w:val="en-GB"/>
              </w:rPr>
            </w:pPr>
            <w:r>
              <w:rPr>
                <w:rFonts w:asciiTheme="minorHAnsi" w:hAnsiTheme="minorHAnsi" w:cs="Calibri"/>
                <w:b/>
                <w:color w:val="FFFFFF" w:themeColor="background1"/>
                <w:sz w:val="20"/>
                <w:lang w:val="en-GB"/>
              </w:rPr>
              <w:t>Charge</w:t>
            </w:r>
            <w:r>
              <w:rPr>
                <w:rStyle w:val="Appelnotedebasdep"/>
                <w:rFonts w:asciiTheme="minorHAnsi" w:hAnsiTheme="minorHAnsi" w:cs="Calibri"/>
                <w:b/>
                <w:smallCaps/>
                <w:color w:val="FFFFFF" w:themeColor="background1"/>
                <w:sz w:val="20"/>
                <w:szCs w:val="24"/>
                <w:lang w:val="en-GB"/>
              </w:rPr>
              <w:footnoteReference w:id="86"/>
            </w:r>
          </w:p>
        </w:tc>
        <w:tc>
          <w:tcPr>
            <w:tcW w:w="1417"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A2503" w:rsidRDefault="002A2503" w:rsidP="0086605D">
            <w:pPr>
              <w:pStyle w:val="Tabellenkopf"/>
              <w:spacing w:before="0" w:after="0"/>
              <w:jc w:val="center"/>
              <w:rPr>
                <w:rFonts w:asciiTheme="minorHAnsi" w:hAnsiTheme="minorHAnsi" w:cs="Calibri"/>
                <w:b/>
                <w:color w:val="FFFFFF" w:themeColor="background1"/>
                <w:sz w:val="20"/>
                <w:lang w:val="en-GB"/>
              </w:rPr>
            </w:pPr>
            <w:r>
              <w:rPr>
                <w:rFonts w:asciiTheme="minorHAnsi" w:hAnsiTheme="minorHAnsi" w:cs="Calibri"/>
                <w:b/>
                <w:color w:val="FFFFFF" w:themeColor="background1"/>
                <w:sz w:val="20"/>
                <w:lang w:val="en-GB"/>
              </w:rPr>
              <w:t>Unit</w:t>
            </w:r>
          </w:p>
        </w:tc>
        <w:tc>
          <w:tcPr>
            <w:tcW w:w="4395"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A2503" w:rsidRDefault="002A2503" w:rsidP="0086605D">
            <w:pPr>
              <w:pStyle w:val="Tabellenkopf"/>
              <w:spacing w:before="0" w:after="0"/>
              <w:jc w:val="center"/>
              <w:rPr>
                <w:rFonts w:asciiTheme="minorHAnsi" w:hAnsiTheme="minorHAnsi" w:cs="Calibri"/>
                <w:b/>
                <w:color w:val="FFFFFF" w:themeColor="background1"/>
                <w:sz w:val="20"/>
                <w:lang w:val="en-GB"/>
              </w:rPr>
            </w:pPr>
            <w:r>
              <w:rPr>
                <w:rFonts w:asciiTheme="minorHAnsi" w:hAnsiTheme="minorHAnsi" w:cs="Calibri"/>
                <w:b/>
                <w:color w:val="FFFFFF" w:themeColor="background1"/>
                <w:sz w:val="20"/>
                <w:lang w:val="en-GB"/>
              </w:rPr>
              <w:t>Differentiation</w:t>
            </w:r>
          </w:p>
        </w:tc>
        <w:tc>
          <w:tcPr>
            <w:tcW w:w="1702"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A2503" w:rsidRDefault="002A2503" w:rsidP="0086605D">
            <w:pPr>
              <w:pStyle w:val="Tabellenkopf"/>
              <w:spacing w:before="0" w:after="0"/>
              <w:jc w:val="center"/>
              <w:rPr>
                <w:rFonts w:asciiTheme="minorHAnsi" w:hAnsiTheme="minorHAnsi" w:cs="Calibri"/>
                <w:b/>
                <w:color w:val="FFFFFF" w:themeColor="background1"/>
                <w:sz w:val="20"/>
                <w:lang w:val="en-GB"/>
              </w:rPr>
            </w:pPr>
            <w:r>
              <w:rPr>
                <w:rFonts w:asciiTheme="minorHAnsi" w:hAnsiTheme="minorHAnsi" w:cs="Calibri"/>
                <w:b/>
                <w:color w:val="FFFFFF" w:themeColor="background1"/>
                <w:sz w:val="20"/>
                <w:lang w:val="en-GB"/>
              </w:rPr>
              <w:t>Cost covered</w:t>
            </w: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Charge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Direct costs of train operation</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Mark-ups</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Additional elements</w:t>
            </w: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Sum of revenues should cover the costs of the IM (full costs - meaning total cost – minus public payments and plus return on investment)</w:t>
            </w: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Sum of revenues should cover the costs of the IM (full costs - meaning total cost – minus public payments and plus return on investment)</w:t>
            </w: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Sum of revenues should cover the costs of the IM (full costs - meaning total cost – minus public payments and plus return on investment)</w:t>
            </w: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Sum of revenues should cover the costs of the IM (full costs - meaning total cost – minus public payments and plus return on investment)</w:t>
            </w:r>
          </w:p>
          <w:p w:rsidR="002A2503" w:rsidRDefault="002A2503" w:rsidP="0086605D">
            <w:pPr>
              <w:pStyle w:val="Tabellentextrechts"/>
              <w:spacing w:before="0" w:after="0"/>
              <w:jc w:val="center"/>
              <w:rPr>
                <w:rFonts w:asciiTheme="minorHAnsi" w:hAnsiTheme="minorHAnsi" w:cs="Calibri"/>
                <w:sz w:val="20"/>
                <w:lang w:val="en-GB"/>
              </w:rPr>
            </w:pPr>
          </w:p>
        </w:tc>
      </w:tr>
      <w:tr w:rsidR="002A2503" w:rsidRPr="00C54CEB" w:rsidTr="002A2503">
        <w:trPr>
          <w:jc w:val="center"/>
        </w:trPr>
        <w:tc>
          <w:tcPr>
            <w:tcW w:w="7342" w:type="dxa"/>
            <w:gridSpan w:val="3"/>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b/>
                <w:sz w:val="20"/>
                <w:lang w:val="en-GB"/>
              </w:rPr>
            </w:pPr>
            <w:r>
              <w:rPr>
                <w:rFonts w:asciiTheme="minorHAnsi" w:hAnsiTheme="minorHAnsi" w:cs="Calibri"/>
                <w:b/>
                <w:sz w:val="20"/>
                <w:lang w:val="en-GB"/>
              </w:rPr>
              <w:t>Direct costs of train operation</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 xml:space="preserve">Minimum access package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Train path charge = charge for the minimum access package x train path kilometres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Tr="002A2503">
        <w:trPr>
          <w:jc w:val="center"/>
        </w:trPr>
        <w:tc>
          <w:tcPr>
            <w:tcW w:w="7342" w:type="dxa"/>
            <w:gridSpan w:val="3"/>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b/>
                <w:sz w:val="20"/>
                <w:lang w:val="en-US"/>
              </w:rPr>
            </w:pPr>
            <w:r>
              <w:rPr>
                <w:rFonts w:asciiTheme="minorHAnsi" w:hAnsiTheme="minorHAnsi" w:cs="Calibri"/>
                <w:b/>
                <w:sz w:val="20"/>
                <w:lang w:val="en-US"/>
              </w:rPr>
              <w:t>Market segmentation</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Market segments in long-distance passenger rail services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color w:val="0000FF"/>
                <w:sz w:val="20"/>
                <w:lang w:val="en-GB"/>
              </w:rPr>
            </w:pPr>
            <w:r>
              <w:rPr>
                <w:noProof/>
                <w:lang w:val="en-GB" w:eastAsia="en-GB"/>
              </w:rPr>
              <w:drawing>
                <wp:inline distT="0" distB="0" distL="0" distR="0" wp14:anchorId="27CB5391" wp14:editId="3E51A3C3">
                  <wp:extent cx="2574925" cy="9220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4925" cy="922020"/>
                          </a:xfrm>
                          <a:prstGeom prst="rect">
                            <a:avLst/>
                          </a:prstGeom>
                          <a:noFill/>
                          <a:ln>
                            <a:noFill/>
                          </a:ln>
                        </pic:spPr>
                      </pic:pic>
                    </a:graphicData>
                  </a:graphic>
                </wp:inline>
              </w:drawing>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lastRenderedPageBreak/>
              <w:t>Market segments in local passenger rail services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noProof/>
                <w:lang w:val="en-GB" w:eastAsia="en-GB"/>
              </w:rPr>
              <w:drawing>
                <wp:inline distT="0" distB="0" distL="0" distR="0" wp14:anchorId="5D04519F" wp14:editId="09BC1C2E">
                  <wp:extent cx="2589530" cy="1777365"/>
                  <wp:effectExtent l="0" t="0" r="127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9530" cy="1777365"/>
                          </a:xfrm>
                          <a:prstGeom prst="rect">
                            <a:avLst/>
                          </a:prstGeom>
                          <a:noFill/>
                          <a:ln>
                            <a:noFill/>
                          </a:ln>
                        </pic:spPr>
                      </pic:pic>
                    </a:graphicData>
                  </a:graphic>
                </wp:inline>
              </w:drawing>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lang w:val="en-GB"/>
              </w:rPr>
              <w:lastRenderedPageBreak/>
              <w:t>Market segments in rail freight transport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noProof/>
                <w:lang w:val="en-GB" w:eastAsia="en-GB"/>
              </w:rPr>
              <w:drawing>
                <wp:inline distT="0" distB="0" distL="0" distR="0" wp14:anchorId="1091B4E8" wp14:editId="40D5D17E">
                  <wp:extent cx="2582545" cy="7239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2545" cy="723900"/>
                          </a:xfrm>
                          <a:prstGeom prst="rect">
                            <a:avLst/>
                          </a:prstGeom>
                          <a:noFill/>
                          <a:ln>
                            <a:noFill/>
                          </a:ln>
                        </pic:spPr>
                      </pic:pic>
                    </a:graphicData>
                  </a:graphic>
                </wp:inline>
              </w:drawing>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2A2503" w:rsidRDefault="002A2503">
            <w:pPr>
              <w:jc w:val="center"/>
              <w:rPr>
                <w:rFonts w:asciiTheme="minorHAnsi" w:hAnsiTheme="minorHAnsi" w:cs="Calibri"/>
                <w:b/>
                <w:sz w:val="20"/>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2A2503" w:rsidRDefault="002A2503" w:rsidP="0086605D">
            <w:pPr>
              <w:pStyle w:val="Tabellentextrechts"/>
              <w:spacing w:before="0" w:after="0"/>
              <w:jc w:val="center"/>
              <w:rPr>
                <w:rFonts w:asciiTheme="minorHAnsi" w:hAnsiTheme="minorHAnsi" w:cs="Calibri"/>
                <w:sz w:val="20"/>
                <w:lang w:val="en-GB"/>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b/>
                <w:sz w:val="20"/>
                <w:lang w:val="en-GB"/>
              </w:rPr>
              <w:t xml:space="preserve">“Standard” segment: </w:t>
            </w:r>
            <w:r>
              <w:rPr>
                <w:rFonts w:asciiTheme="minorHAnsi" w:hAnsiTheme="minorHAnsi" w:cs="Calibri"/>
                <w:sz w:val="20"/>
                <w:lang w:val="en-GB"/>
              </w:rPr>
              <w:t>All train path usages in rail freight transport system that are not assigned to the “Sehr schwer”, “Gefahr</w:t>
            </w:r>
            <w:r>
              <w:rPr>
                <w:rFonts w:asciiTheme="minorHAnsi" w:hAnsiTheme="minorHAnsi" w:cs="Calibri"/>
                <w:sz w:val="20"/>
                <w:lang w:val="en-US"/>
              </w:rPr>
              <w:t xml:space="preserve">gutganzzug”, “Gefahrgutgüternahverkehr”, “Güternahverkehr” or “Lokfahrt” market segments are assigned to the </w:t>
            </w:r>
            <w:r>
              <w:rPr>
                <w:rFonts w:asciiTheme="minorHAnsi" w:hAnsiTheme="minorHAnsi" w:cs="Calibri"/>
                <w:sz w:val="20"/>
                <w:lang w:val="en-GB"/>
              </w:rPr>
              <w:t xml:space="preserve">“Standard” market segment. </w:t>
            </w:r>
          </w:p>
          <w:p w:rsidR="002A2503" w:rsidRDefault="002A2503" w:rsidP="0086605D">
            <w:pPr>
              <w:pStyle w:val="Tabellentextrechts"/>
              <w:spacing w:before="0" w:after="0"/>
              <w:jc w:val="center"/>
              <w:rPr>
                <w:noProof/>
                <w:lang w:val="en-US" w:eastAsia="de-DE"/>
              </w:rPr>
            </w:pPr>
            <w:r>
              <w:rPr>
                <w:rFonts w:asciiTheme="minorHAnsi" w:hAnsiTheme="minorHAnsi" w:cs="Calibri"/>
                <w:sz w:val="20"/>
                <w:lang w:val="en-GB"/>
              </w:rPr>
              <w:t>Additional market segments in the rail freight transport sector arise from combining the aforementioned segments with further planning or operational characteristics.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2A2503" w:rsidRDefault="002A2503">
            <w:pPr>
              <w:jc w:val="center"/>
              <w:rPr>
                <w:rFonts w:asciiTheme="minorHAnsi" w:hAnsiTheme="minorHAnsi" w:cs="Calibri"/>
                <w:b/>
                <w:sz w:val="20"/>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2A2503" w:rsidRDefault="002A2503" w:rsidP="0086605D">
            <w:pPr>
              <w:pStyle w:val="Tabellentextrechts"/>
              <w:spacing w:before="0" w:after="0"/>
              <w:jc w:val="center"/>
              <w:rPr>
                <w:rFonts w:asciiTheme="minorHAnsi" w:hAnsiTheme="minorHAnsi" w:cs="Calibri"/>
                <w:sz w:val="20"/>
                <w:lang w:val="en-GB"/>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b/>
                <w:sz w:val="20"/>
                <w:lang w:val="en-GB"/>
              </w:rPr>
              <w:t xml:space="preserve">Planning characteristics: </w:t>
            </w:r>
            <w:r>
              <w:rPr>
                <w:rFonts w:asciiTheme="minorHAnsi" w:hAnsiTheme="minorHAnsi" w:cs="Calibri"/>
                <w:sz w:val="20"/>
                <w:lang w:val="en-GB"/>
              </w:rPr>
              <w:t>Planning characteristics include the “Z-Flex” time flexibility and “R-Flex” spatial/geographical flexibility options (except for the segment “Lokfahrt”): “</w:t>
            </w:r>
            <w:r>
              <w:rPr>
                <w:rFonts w:asciiTheme="minorHAnsi" w:hAnsiTheme="minorHAnsi" w:cs="Calibri"/>
                <w:b/>
                <w:sz w:val="20"/>
                <w:lang w:val="en-GB"/>
              </w:rPr>
              <w:t>Z-Flex</w:t>
            </w:r>
            <w:r>
              <w:rPr>
                <w:rFonts w:asciiTheme="minorHAnsi" w:hAnsiTheme="minorHAnsi" w:cs="Calibri"/>
                <w:sz w:val="20"/>
                <w:lang w:val="en-GB"/>
              </w:rPr>
              <w:t>” allows a temporal design-tolerance flexibility of +/- 120 minutes for rail freight train paths in relation to the departure and arrival time and the time of every stop ordered by the customer ie. total timetable construction of 240 minutes.</w:t>
            </w:r>
          </w:p>
          <w:p w:rsidR="002A2503" w:rsidRDefault="002A2503" w:rsidP="0086605D">
            <w:pPr>
              <w:pStyle w:val="Tabellentextrechts"/>
              <w:spacing w:before="0" w:after="0"/>
              <w:jc w:val="center"/>
              <w:rPr>
                <w:noProof/>
                <w:lang w:val="en-GB" w:eastAsia="de-DE"/>
              </w:rPr>
            </w:pPr>
            <w:r>
              <w:rPr>
                <w:rFonts w:asciiTheme="minorHAnsi" w:hAnsiTheme="minorHAnsi" w:cs="Calibri"/>
                <w:sz w:val="20"/>
                <w:lang w:val="en-GB"/>
              </w:rPr>
              <w:t>“</w:t>
            </w:r>
            <w:r>
              <w:rPr>
                <w:rFonts w:asciiTheme="minorHAnsi" w:hAnsiTheme="minorHAnsi" w:cs="Calibri"/>
                <w:b/>
                <w:sz w:val="20"/>
                <w:lang w:val="en-GB"/>
              </w:rPr>
              <w:t>R-Flex</w:t>
            </w:r>
            <w:r>
              <w:rPr>
                <w:rFonts w:asciiTheme="minorHAnsi" w:hAnsiTheme="minorHAnsi" w:cs="Calibri"/>
                <w:sz w:val="20"/>
                <w:lang w:val="en-GB"/>
              </w:rPr>
              <w:t>” allows temporal design-tolerance flexibility of +/- 120 minutes for rail freight train paths in relation to the departure and arrival time ie. total design tolerance of 240 minutes, as well as flexibility with regards all possible itineraries when the starting and end point are retained. The only binding geographical factors for constructing the train path are the starting and end points. If the train-path application contains scheduled stops for path construction, there is no geographical flexibility.</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2A2503" w:rsidRDefault="002A2503">
            <w:pPr>
              <w:jc w:val="center"/>
              <w:rPr>
                <w:rFonts w:asciiTheme="minorHAnsi" w:hAnsiTheme="minorHAnsi" w:cs="Calibri"/>
                <w:b/>
                <w:sz w:val="20"/>
                <w:szCs w:val="20"/>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2A2503" w:rsidRDefault="002A2503" w:rsidP="0086605D">
            <w:pPr>
              <w:pStyle w:val="Tabellentextrechts"/>
              <w:spacing w:before="0" w:after="0"/>
              <w:jc w:val="center"/>
              <w:rPr>
                <w:rFonts w:asciiTheme="minorHAnsi" w:hAnsiTheme="minorHAnsi" w:cs="Calibri"/>
                <w:sz w:val="20"/>
                <w:lang w:val="en-GB"/>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b/>
                <w:sz w:val="20"/>
                <w:lang w:val="en-GB"/>
              </w:rPr>
              <w:t>Operational characteristics:</w:t>
            </w:r>
            <w:r>
              <w:rPr>
                <w:rFonts w:asciiTheme="minorHAnsi" w:hAnsiTheme="minorHAnsi" w:cs="Calibri"/>
                <w:sz w:val="20"/>
                <w:lang w:val="en-GB"/>
              </w:rPr>
              <w:t xml:space="preserve"> If the applicant requires special operational handling in the event of a fault or malfunction, he can choose either “Express” or “Schnell” in the freight rail transport system. Those operational characteristics can be combined with each of the aforementioned segments except for “Lokfahrt” and „Sehr schwer“ and are available on both the working timetable and ad-hoc services.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Tr="002A2503">
        <w:trPr>
          <w:jc w:val="center"/>
        </w:trPr>
        <w:tc>
          <w:tcPr>
            <w:tcW w:w="7342" w:type="dxa"/>
            <w:gridSpan w:val="3"/>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b/>
                <w:sz w:val="20"/>
                <w:lang w:val="en-GB"/>
              </w:rPr>
            </w:pPr>
            <w:r>
              <w:rPr>
                <w:rFonts w:asciiTheme="minorHAnsi" w:hAnsiTheme="minorHAnsi" w:cs="Calibri"/>
                <w:b/>
                <w:sz w:val="20"/>
                <w:lang w:val="en-GB"/>
              </w:rPr>
              <w:lastRenderedPageBreak/>
              <w:t>Other charging components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Noise differentiated track access charge (NDTAC)</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Malus in percent of the basic price; bonus in cents per axle-km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NDTAC will consist of an additional 4.0 % surcharge to the train path charge for noisy freight trains and a mileage-specific bonus totalling EUR 0.5 per axle kilometre (maximum of EUR 211 per axle) for the active use of freight wagons that have been converted with low-noise technology. Low-noise freight trains do not pay a surcharge if, depending on the day of service and train number, corresponding formal verification in line with the format template requirements of DB Netz AG is affixed/attached by way of self-declaration by the first business day of the month. A train is regarded as being a low-noise train when at least 90 % of its freight wagons operate at low noise levels by design.</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New sector discount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Percentage decrease to the standard usage charge</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In order to promote the development of new railway services, DB Netz AG grants all applicants time-limited discount.</w:t>
            </w:r>
            <w:r>
              <w:rPr>
                <w:lang w:val="en-US"/>
              </w:rPr>
              <w:t xml:space="preserve"> </w:t>
            </w:r>
            <w:r>
              <w:rPr>
                <w:rFonts w:asciiTheme="minorHAnsi" w:hAnsiTheme="minorHAnsi" w:cs="Calibri"/>
                <w:sz w:val="20"/>
                <w:lang w:val="en-GB"/>
              </w:rPr>
              <w:t>The applicant must set out that it is a service that has been newly acquired for rail in intermodal competition, or is completely new, and runs on at least 10 train paths in a 12-month period upon the commencement of operations.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Charge for issuing an offer</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Timetable costs multiplied by train-path kilometres of the constructed train paths multiplied by the number of days of service</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xml:space="preserve">As the costs for processing requests for the allocation of train paths are contained in the train-path charge, a failure to take up a train path once an application already submitted will result in a processing charge levied for issuing the offer. </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Timetable costs are a part of the direct costs.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Charge for movements outside line operating hours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30 euros/30 minutes or part thereof</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Additional charge levied if signal-box occupancy for ad-hoc services exceeds the line operating hours.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Compensation for additional train path costs for work-related rail freight transport diversions in the working timetable</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Under the certain conditions (detailed in the network statement), rail freight transport train paths registered in the working timetable are treated like train paths attributed to the “R-Flex” market segment with regard to the calculation of the charges levied for the days of service concerned:</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 xml:space="preserve">Reduced charges for non-contractual </w:t>
            </w:r>
            <w:r>
              <w:rPr>
                <w:rFonts w:asciiTheme="minorHAnsi" w:hAnsiTheme="minorHAnsi" w:cs="Calibri"/>
                <w:b/>
                <w:sz w:val="20"/>
                <w:szCs w:val="20"/>
                <w:lang w:val="en-GB"/>
              </w:rPr>
              <w:lastRenderedPageBreak/>
              <w:t>condition/reduction upon request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lastRenderedPageBreak/>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DB Netz AG itself reduces the payable usage charge in the case of the faults listed in the network statement if these, due to a disruption, have resulted in additional delay minutes.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lastRenderedPageBreak/>
              <w:t>Charging arrangement for diversions due to construction work after conclusion of the individual usage agreement (ENV)</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 train-path.km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If the route of a contractually agreed train path deviates from the ENV (diversion) due to construction work not taken into consideration for such train path in the ENV, only the train path charge for the route to which the ENV relates is invoiced.</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Pr="00C63CDD" w:rsidRDefault="002A2503">
            <w:pPr>
              <w:jc w:val="center"/>
              <w:rPr>
                <w:rFonts w:asciiTheme="minorHAnsi" w:hAnsiTheme="minorHAnsi" w:cs="Calibri"/>
                <w:b/>
                <w:sz w:val="20"/>
                <w:szCs w:val="20"/>
                <w:lang w:val="en-GB"/>
              </w:rPr>
            </w:pPr>
            <w:r w:rsidRPr="00C63CDD">
              <w:rPr>
                <w:rFonts w:asciiTheme="minorHAnsi" w:hAnsiTheme="minorHAnsi" w:cs="Calibri"/>
                <w:b/>
                <w:sz w:val="20"/>
                <w:szCs w:val="20"/>
                <w:lang w:val="en-GB"/>
              </w:rPr>
              <w:t xml:space="preserve">Charging arrangements for rail replacement services or </w:t>
            </w:r>
          </w:p>
          <w:p w:rsidR="002A2503" w:rsidRDefault="002A2503">
            <w:pPr>
              <w:jc w:val="center"/>
              <w:rPr>
                <w:rFonts w:asciiTheme="minorHAnsi" w:hAnsiTheme="minorHAnsi" w:cs="Calibri"/>
                <w:b/>
                <w:sz w:val="20"/>
                <w:szCs w:val="20"/>
              </w:rPr>
            </w:pPr>
            <w:r>
              <w:rPr>
                <w:rFonts w:asciiTheme="minorHAnsi" w:hAnsiTheme="minorHAnsi" w:cs="Calibri"/>
                <w:b/>
                <w:sz w:val="20"/>
                <w:szCs w:val="20"/>
              </w:rPr>
              <w:t>emergency bus services</w:t>
            </w:r>
          </w:p>
        </w:tc>
        <w:tc>
          <w:tcPr>
            <w:tcW w:w="1417" w:type="dxa"/>
            <w:tcBorders>
              <w:top w:val="single" w:sz="4" w:space="0" w:color="auto"/>
              <w:left w:val="single" w:sz="4" w:space="0" w:color="auto"/>
              <w:bottom w:val="single" w:sz="4" w:space="0" w:color="auto"/>
              <w:right w:val="single" w:sz="4" w:space="0" w:color="auto"/>
            </w:tcBorders>
            <w:vAlign w:val="center"/>
          </w:tcPr>
          <w:p w:rsidR="002A2503" w:rsidRDefault="002A2503" w:rsidP="0086605D">
            <w:pPr>
              <w:pStyle w:val="Tabellentextrechts"/>
              <w:spacing w:before="0" w:after="0"/>
              <w:jc w:val="center"/>
              <w:rPr>
                <w:rFonts w:asciiTheme="minorHAnsi" w:hAnsiTheme="minorHAnsi" w:cs="Calibri"/>
                <w:sz w:val="20"/>
                <w:lang w:val="en-GB"/>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In cases where the railway infrastructure cannot be used for a specific period of time as a result of planned measures such as construction, unforeseen faults or reasons that the RU must account for from a vehicle equipment and/or personnel perspective, the rules and regulations defined for rail replacement services (see network statement DB Netz AG) or emergency bus services are applied.</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Amendments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Amendment charge per day of service = timetable costs × affected train path 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The amendment fee corresponds to the share of costs that are incurred as a direct result of train operation for the processing of requests for the allocation of train paths. It is charged for:</w:t>
            </w:r>
          </w:p>
          <w:p w:rsidR="002A2503" w:rsidRDefault="002A2503" w:rsidP="0086605D">
            <w:pPr>
              <w:pStyle w:val="Tabellentextrechts"/>
              <w:numPr>
                <w:ilvl w:val="0"/>
                <w:numId w:val="41"/>
              </w:numPr>
              <w:spacing w:before="0" w:after="0"/>
              <w:jc w:val="left"/>
              <w:rPr>
                <w:rFonts w:asciiTheme="minorHAnsi" w:hAnsiTheme="minorHAnsi" w:cs="Calibri"/>
                <w:sz w:val="20"/>
                <w:lang w:val="en-GB"/>
              </w:rPr>
            </w:pPr>
            <w:r>
              <w:rPr>
                <w:rFonts w:asciiTheme="minorHAnsi" w:hAnsiTheme="minorHAnsi" w:cs="Calibri"/>
                <w:sz w:val="20"/>
                <w:lang w:val="en-GB"/>
              </w:rPr>
              <w:t>Amended speed without amendment to the day of service</w:t>
            </w:r>
          </w:p>
          <w:p w:rsidR="002A2503" w:rsidRDefault="002A2503" w:rsidP="0086605D">
            <w:pPr>
              <w:pStyle w:val="Tabellentextrechts"/>
              <w:numPr>
                <w:ilvl w:val="0"/>
                <w:numId w:val="41"/>
              </w:numPr>
              <w:spacing w:before="0" w:after="0"/>
              <w:jc w:val="left"/>
              <w:rPr>
                <w:rFonts w:asciiTheme="minorHAnsi" w:hAnsiTheme="minorHAnsi" w:cs="Calibri"/>
                <w:sz w:val="20"/>
                <w:lang w:val="en-GB"/>
              </w:rPr>
            </w:pPr>
            <w:r>
              <w:rPr>
                <w:rFonts w:asciiTheme="minorHAnsi" w:hAnsiTheme="minorHAnsi" w:cs="Calibri"/>
                <w:sz w:val="20"/>
                <w:lang w:val="en-GB"/>
              </w:rPr>
              <w:t>Amended time of day without amendment to the day of service</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2A2503" w:rsidRDefault="002A2503">
            <w:pPr>
              <w:jc w:val="center"/>
              <w:rPr>
                <w:rFonts w:asciiTheme="minorHAnsi" w:hAnsiTheme="minorHAnsi" w:cs="Calibri"/>
                <w:b/>
                <w:sz w:val="20"/>
                <w:szCs w:val="20"/>
                <w:lang w:val="en-GB"/>
              </w:rPr>
            </w:pPr>
            <w:r>
              <w:rPr>
                <w:rFonts w:asciiTheme="minorHAnsi" w:hAnsiTheme="minorHAnsi" w:cs="Calibri"/>
                <w:b/>
                <w:sz w:val="20"/>
                <w:szCs w:val="20"/>
                <w:lang w:val="en-GB"/>
              </w:rPr>
              <w:t>Cancellations</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Minimum cancellation fee per day of service = timetable costs × affected train path km</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b/>
                <w:sz w:val="20"/>
                <w:lang w:val="en-GB"/>
              </w:rPr>
            </w:pPr>
            <w:r>
              <w:rPr>
                <w:rFonts w:asciiTheme="minorHAnsi" w:hAnsiTheme="minorHAnsi" w:cs="Calibri"/>
                <w:b/>
                <w:sz w:val="20"/>
                <w:lang w:val="en-GB"/>
              </w:rPr>
              <w:t>Minimum cancellation fee:</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For cancellations up to the 31st day prior to the departure of the train, a minimum cancellation fee will be charged for the day of service cancelled depending on the expense associated therewith. The minimum cancellation fee corresponds to the share of costs that are incurred as a direct result of train operation for the processing of requests for the allocation of train paths.</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r w:rsidR="002A2503" w:rsidRPr="00C54CEB" w:rsidTr="002A2503">
        <w:trPr>
          <w:jc w:val="center"/>
        </w:trPr>
        <w:tc>
          <w:tcPr>
            <w:tcW w:w="1530" w:type="dxa"/>
            <w:tcBorders>
              <w:top w:val="single" w:sz="4" w:space="0" w:color="auto"/>
              <w:left w:val="single" w:sz="4" w:space="0" w:color="auto"/>
              <w:bottom w:val="single" w:sz="4" w:space="0" w:color="auto"/>
              <w:right w:val="single" w:sz="4" w:space="0" w:color="auto"/>
            </w:tcBorders>
            <w:vAlign w:val="center"/>
          </w:tcPr>
          <w:p w:rsidR="002A2503" w:rsidRDefault="002A2503">
            <w:pPr>
              <w:jc w:val="center"/>
              <w:rPr>
                <w:rFonts w:asciiTheme="minorHAnsi" w:hAnsiTheme="minorHAnsi" w:cs="Calibri"/>
                <w:b/>
                <w:sz w:val="20"/>
                <w:szCs w:val="20"/>
                <w:lang w:val="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xml:space="preserve">Increased cancellation fee per day of service = </w:t>
            </w:r>
          </w:p>
          <w:p w:rsidR="002A2503" w:rsidRPr="0086605D" w:rsidRDefault="002A2503" w:rsidP="0086605D">
            <w:pPr>
              <w:pStyle w:val="Tabellentextrechts"/>
              <w:spacing w:before="0" w:after="0"/>
              <w:jc w:val="center"/>
              <w:rPr>
                <w:rFonts w:asciiTheme="minorHAnsi" w:hAnsiTheme="minorHAnsi" w:cs="Calibri"/>
                <w:sz w:val="20"/>
                <w:lang w:val="fr-FR"/>
              </w:rPr>
            </w:pPr>
            <w:r w:rsidRPr="0086605D">
              <w:rPr>
                <w:rFonts w:asciiTheme="minorHAnsi" w:hAnsiTheme="minorHAnsi" w:cs="Calibri"/>
                <w:sz w:val="20"/>
                <w:lang w:val="fr-FR"/>
              </w:rPr>
              <w:t>train path km × applicable cancellation fee</w:t>
            </w:r>
          </w:p>
        </w:tc>
        <w:tc>
          <w:tcPr>
            <w:tcW w:w="4395" w:type="dxa"/>
            <w:tcBorders>
              <w:top w:val="single" w:sz="4" w:space="0" w:color="auto"/>
              <w:left w:val="single" w:sz="4" w:space="0" w:color="auto"/>
              <w:bottom w:val="single" w:sz="4" w:space="0" w:color="auto"/>
              <w:right w:val="single" w:sz="4" w:space="0" w:color="auto"/>
            </w:tcBorders>
            <w:vAlign w:val="center"/>
            <w:hideMark/>
          </w:tcPr>
          <w:p w:rsidR="002A2503" w:rsidRDefault="002A2503" w:rsidP="0086605D">
            <w:pPr>
              <w:pStyle w:val="Tabellentextrechts"/>
              <w:spacing w:before="0" w:after="0"/>
              <w:jc w:val="center"/>
              <w:rPr>
                <w:rFonts w:asciiTheme="minorHAnsi" w:hAnsiTheme="minorHAnsi" w:cs="Calibri"/>
                <w:b/>
                <w:sz w:val="20"/>
                <w:lang w:val="en-GB"/>
              </w:rPr>
            </w:pPr>
            <w:r>
              <w:rPr>
                <w:rFonts w:asciiTheme="minorHAnsi" w:hAnsiTheme="minorHAnsi" w:cs="Calibri"/>
                <w:b/>
                <w:sz w:val="20"/>
                <w:lang w:val="en-GB"/>
              </w:rPr>
              <w:t>Increased cancellation fee:</w:t>
            </w:r>
          </w:p>
          <w:p w:rsidR="002A2503" w:rsidRDefault="002A2503"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For cancellations within 30 days prior to departure of the train, an increased cancellation fee will be charged for every day of service cancelled in connection with the train path charge of the cancelled train and the time of the cancellation.</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A2503" w:rsidRDefault="002A2503">
            <w:pPr>
              <w:rPr>
                <w:rFonts w:asciiTheme="minorHAnsi" w:hAnsiTheme="minorHAnsi" w:cs="Calibri"/>
                <w:sz w:val="20"/>
                <w:szCs w:val="20"/>
                <w:lang w:val="en-GB" w:eastAsia="de-CH"/>
              </w:rPr>
            </w:pPr>
          </w:p>
        </w:tc>
      </w:tr>
    </w:tbl>
    <w:p w:rsidR="002A2503" w:rsidRPr="0086605D" w:rsidRDefault="002A2503" w:rsidP="00B52093">
      <w:pPr>
        <w:jc w:val="both"/>
        <w:rPr>
          <w:rFonts w:asciiTheme="minorHAnsi" w:hAnsiTheme="minorHAnsi"/>
          <w:sz w:val="22"/>
          <w:szCs w:val="22"/>
          <w:lang w:val="en-US"/>
        </w:rPr>
      </w:pPr>
    </w:p>
    <w:p w:rsidR="002A2503" w:rsidRDefault="002A2503">
      <w:pPr>
        <w:rPr>
          <w:rFonts w:asciiTheme="minorHAnsi" w:hAnsiTheme="minorHAnsi"/>
          <w:b/>
          <w:bCs/>
          <w:kern w:val="32"/>
          <w:sz w:val="22"/>
          <w:szCs w:val="22"/>
          <w:lang w:val="en-GB"/>
        </w:rPr>
      </w:pPr>
      <w:bookmarkStart w:id="57" w:name="_Toc461625131"/>
      <w:bookmarkStart w:id="58" w:name="_Toc461625233"/>
      <w:r>
        <w:rPr>
          <w:rFonts w:asciiTheme="minorHAnsi" w:hAnsiTheme="minorHAnsi"/>
          <w:sz w:val="22"/>
          <w:szCs w:val="22"/>
          <w:lang w:val="en-GB"/>
        </w:rPr>
        <w:br w:type="page"/>
      </w:r>
    </w:p>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bookmarkStart w:id="59" w:name="_Toc496279027"/>
      <w:r w:rsidRPr="000A6B0A">
        <w:rPr>
          <w:rFonts w:asciiTheme="minorHAnsi" w:hAnsiTheme="minorHAnsi"/>
          <w:sz w:val="22"/>
          <w:szCs w:val="22"/>
          <w:lang w:val="en-GB"/>
        </w:rPr>
        <w:lastRenderedPageBreak/>
        <w:t>Greece</w:t>
      </w:r>
      <w:bookmarkEnd w:id="57"/>
      <w:bookmarkEnd w:id="58"/>
      <w:bookmarkEnd w:id="59"/>
    </w:p>
    <w:p w:rsidR="001E3837" w:rsidRPr="000A6B0A" w:rsidRDefault="001E3837" w:rsidP="00317C34">
      <w:pPr>
        <w:ind w:left="360"/>
        <w:rPr>
          <w:rFonts w:asciiTheme="minorHAnsi" w:hAnsiTheme="minorHAnsi"/>
          <w:b/>
          <w:smallCaps/>
          <w:sz w:val="22"/>
          <w:szCs w:val="22"/>
          <w:lang w:val="en-GB"/>
        </w:rPr>
      </w:pPr>
    </w:p>
    <w:p w:rsidR="00F76292" w:rsidRPr="000A6B0A" w:rsidRDefault="00F76292"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infrastructure management charging system is constituted of a basic cost which includes the cost of track maintenance and operational services. Where appropriate, it also includes additional charges</w:t>
      </w:r>
      <w:r w:rsidR="00976A6C" w:rsidRPr="000A6B0A">
        <w:rPr>
          <w:rFonts w:asciiTheme="minorHAnsi" w:hAnsiTheme="minorHAnsi"/>
          <w:sz w:val="22"/>
          <w:szCs w:val="22"/>
          <w:lang w:val="en-GB"/>
        </w:rPr>
        <w:t xml:space="preserve"> such a</w:t>
      </w:r>
      <w:r w:rsidRPr="000A6B0A">
        <w:rPr>
          <w:rFonts w:asciiTheme="minorHAnsi" w:hAnsiTheme="minorHAnsi"/>
          <w:sz w:val="22"/>
          <w:szCs w:val="22"/>
          <w:lang w:val="en-GB"/>
        </w:rPr>
        <w:t xml:space="preserve">s electrification and special costs. </w:t>
      </w:r>
    </w:p>
    <w:p w:rsidR="001E3837" w:rsidRPr="000A6B0A" w:rsidRDefault="001E3837" w:rsidP="0086605D">
      <w:pPr>
        <w:spacing w:line="276" w:lineRule="auto"/>
        <w:jc w:val="both"/>
        <w:rPr>
          <w:rFonts w:asciiTheme="minorHAnsi" w:hAnsiTheme="minorHAnsi"/>
          <w:sz w:val="22"/>
          <w:szCs w:val="22"/>
          <w:lang w:val="en-GB"/>
        </w:rPr>
      </w:pPr>
    </w:p>
    <w:p w:rsidR="001E3837" w:rsidRPr="000A6B0A" w:rsidRDefault="0071657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w:t>
      </w:r>
      <w:r w:rsidR="001E3837" w:rsidRPr="000A6B0A">
        <w:rPr>
          <w:rFonts w:asciiTheme="minorHAnsi" w:hAnsiTheme="minorHAnsi"/>
          <w:sz w:val="22"/>
          <w:szCs w:val="22"/>
          <w:lang w:val="en-GB"/>
        </w:rPr>
        <w:t xml:space="preserve">here are two basic charges, each per train.km, one concerning operation services (0.65 euros per train.km) and the other concerning track maintenance (0.40 euros per train.km). Each one of these charges is to be multiplied </w:t>
      </w:r>
      <w:r w:rsidRPr="000A6B0A">
        <w:rPr>
          <w:rFonts w:asciiTheme="minorHAnsi" w:hAnsiTheme="minorHAnsi"/>
          <w:sz w:val="22"/>
          <w:szCs w:val="22"/>
          <w:lang w:val="en-GB"/>
        </w:rPr>
        <w:t xml:space="preserve">by </w:t>
      </w:r>
      <w:r w:rsidR="001E3837" w:rsidRPr="000A6B0A">
        <w:rPr>
          <w:rFonts w:asciiTheme="minorHAnsi" w:hAnsiTheme="minorHAnsi"/>
          <w:sz w:val="22"/>
          <w:szCs w:val="22"/>
          <w:lang w:val="en-GB"/>
        </w:rPr>
        <w:t>two factors. The first factor for the operation services (for the first quantity) has to do with the relation of the day time period of the route with the peak one and ranges between 0.7 and 1.2 and the second factor for the operation services (for the first quantity) has to do with the relation of the whole time of the route in the timetable in relation with the ideal minimum time that a typical fast train can operate this route without intermediate stops and ranges roughly between 1 and 1.5. The first factor for the track maintenance (for the second quantity) is related to the quality of the track and ranges between 0.53 and 0.90, while the second factor for the track maintenance (for the second quantity) is related to the axial load, the total load and the speed of the train and ranges between 1.0 and 9.61 . The sum of the two quantities gives the charge per train.km.</w:t>
      </w:r>
    </w:p>
    <w:p w:rsidR="001E3837" w:rsidRPr="000A6B0A" w:rsidRDefault="001E3837" w:rsidP="00AC5C05">
      <w:pPr>
        <w:jc w:val="both"/>
        <w:rPr>
          <w:rFonts w:asciiTheme="minorHAnsi" w:hAnsiTheme="minorHAnsi"/>
          <w:sz w:val="22"/>
          <w:szCs w:val="22"/>
          <w:lang w:val="en-GB"/>
        </w:rPr>
      </w:pPr>
    </w:p>
    <w:p w:rsidR="001E3837" w:rsidRPr="000A6B0A" w:rsidRDefault="001E3837" w:rsidP="00AC5C05">
      <w:pPr>
        <w:ind w:left="720"/>
        <w:jc w:val="both"/>
        <w:rPr>
          <w:rFonts w:asciiTheme="minorHAnsi" w:hAnsiTheme="minorHAnsi" w:cs="Calibri"/>
          <w:sz w:val="24"/>
          <w:szCs w:val="24"/>
          <w:lang w:val="en-GB"/>
        </w:rPr>
      </w:pPr>
    </w:p>
    <w:tbl>
      <w:tblPr>
        <w:tblW w:w="8983" w:type="dxa"/>
        <w:jc w:val="center"/>
        <w:tblInd w:w="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40"/>
        <w:gridCol w:w="1484"/>
        <w:gridCol w:w="2798"/>
        <w:gridCol w:w="2126"/>
      </w:tblGrid>
      <w:tr w:rsidR="002822DF" w:rsidRPr="000A6B0A" w:rsidTr="00BE5533">
        <w:trPr>
          <w:jc w:val="center"/>
        </w:trPr>
        <w:tc>
          <w:tcPr>
            <w:tcW w:w="2575" w:type="dxa"/>
            <w:gridSpan w:val="2"/>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84"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798"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126"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1E3837" w:rsidRPr="00C54CEB" w:rsidTr="00BE5533">
        <w:trPr>
          <w:jc w:val="center"/>
        </w:trPr>
        <w:tc>
          <w:tcPr>
            <w:tcW w:w="1135" w:type="dxa"/>
            <w:vMerge w:val="restart"/>
          </w:tcPr>
          <w:p w:rsidR="001E3837" w:rsidRPr="000A6B0A" w:rsidRDefault="001E3837">
            <w:pPr>
              <w:jc w:val="center"/>
              <w:rPr>
                <w:rFonts w:asciiTheme="minorHAnsi" w:hAnsiTheme="minorHAnsi" w:cs="Calibri"/>
                <w:b/>
                <w:sz w:val="20"/>
                <w:szCs w:val="20"/>
                <w:lang w:val="en-GB" w:eastAsia="de-CH"/>
              </w:rPr>
            </w:pPr>
          </w:p>
          <w:p w:rsidR="001E3837" w:rsidRPr="000A6B0A" w:rsidRDefault="001E3837">
            <w:pPr>
              <w:jc w:val="center"/>
              <w:rPr>
                <w:rFonts w:asciiTheme="minorHAnsi" w:hAnsiTheme="minorHAnsi" w:cs="Calibri"/>
                <w:b/>
                <w:sz w:val="20"/>
                <w:szCs w:val="20"/>
                <w:lang w:val="en-GB" w:eastAsia="de-CH"/>
              </w:rPr>
            </w:pPr>
          </w:p>
          <w:p w:rsidR="001E3837" w:rsidRPr="000A6B0A" w:rsidRDefault="001E3837">
            <w:pPr>
              <w:jc w:val="center"/>
              <w:rPr>
                <w:rFonts w:asciiTheme="minorHAnsi" w:hAnsiTheme="minorHAnsi" w:cs="Calibri"/>
                <w:b/>
                <w:sz w:val="20"/>
                <w:szCs w:val="20"/>
                <w:lang w:val="en-GB" w:eastAsia="de-CH"/>
              </w:rPr>
            </w:pPr>
          </w:p>
          <w:p w:rsidR="001E3837" w:rsidRPr="000A6B0A" w:rsidRDefault="001E3837">
            <w:pPr>
              <w:jc w:val="center"/>
              <w:rPr>
                <w:rFonts w:asciiTheme="minorHAnsi" w:hAnsiTheme="minorHAnsi" w:cs="Calibri"/>
                <w:b/>
                <w:sz w:val="20"/>
                <w:szCs w:val="20"/>
                <w:lang w:val="en-GB" w:eastAsia="de-CH"/>
              </w:rPr>
            </w:pPr>
          </w:p>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Basic cost</w:t>
            </w:r>
          </w:p>
          <w:p w:rsidR="001E3837" w:rsidRPr="000A6B0A" w:rsidRDefault="001E3837">
            <w:pPr>
              <w:jc w:val="center"/>
              <w:rPr>
                <w:rFonts w:asciiTheme="minorHAnsi" w:hAnsiTheme="minorHAnsi" w:cs="Calibri"/>
                <w:b/>
                <w:sz w:val="20"/>
                <w:szCs w:val="20"/>
                <w:lang w:val="en-GB" w:eastAsia="de-CH"/>
              </w:rPr>
            </w:pPr>
          </w:p>
        </w:tc>
        <w:tc>
          <w:tcPr>
            <w:tcW w:w="1440"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 xml:space="preserve">Operation </w:t>
            </w:r>
          </w:p>
        </w:tc>
        <w:tc>
          <w:tcPr>
            <w:tcW w:w="1484" w:type="dxa"/>
            <w:vMerge w:val="restart"/>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 / train</w:t>
            </w:r>
            <w:r w:rsidR="00976A6C" w:rsidRPr="000A6B0A">
              <w:rPr>
                <w:rFonts w:asciiTheme="minorHAnsi" w:hAnsiTheme="minorHAnsi" w:cs="Calibri"/>
                <w:sz w:val="20"/>
                <w:szCs w:val="20"/>
                <w:lang w:val="en-GB" w:eastAsia="de-CH"/>
              </w:rPr>
              <w:t>.</w:t>
            </w:r>
            <w:r w:rsidRPr="000A6B0A">
              <w:rPr>
                <w:rFonts w:asciiTheme="minorHAnsi" w:hAnsiTheme="minorHAnsi" w:cs="Calibri"/>
                <w:sz w:val="20"/>
                <w:szCs w:val="20"/>
                <w:lang w:val="en-GB" w:eastAsia="de-CH"/>
              </w:rPr>
              <w:t>km</w:t>
            </w:r>
          </w:p>
        </w:tc>
        <w:tc>
          <w:tcPr>
            <w:tcW w:w="2798" w:type="dxa"/>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Categorization of routes based on peak periods Burdening line capacity</w:t>
            </w:r>
          </w:p>
          <w:p w:rsidR="001E3837" w:rsidRPr="000A6B0A" w:rsidRDefault="001E3837" w:rsidP="0086605D">
            <w:pPr>
              <w:keepNext/>
              <w:keepLines/>
              <w:suppressAutoHyphens/>
              <w:ind w:right="113"/>
              <w:rPr>
                <w:rFonts w:asciiTheme="minorHAnsi" w:hAnsiTheme="minorHAnsi" w:cs="Calibri"/>
                <w:sz w:val="20"/>
                <w:szCs w:val="20"/>
                <w:lang w:val="en-GB" w:eastAsia="de-CH"/>
              </w:rPr>
            </w:pPr>
          </w:p>
        </w:tc>
        <w:tc>
          <w:tcPr>
            <w:tcW w:w="2126" w:type="dxa"/>
            <w:vMerge w:val="restart"/>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 xml:space="preserve">≤ 30% of the actual cost (accrued expenditure) of maintenance and operating </w:t>
            </w: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p w:rsidR="001E3837" w:rsidRPr="000A6B0A" w:rsidRDefault="001E3837" w:rsidP="0086605D">
            <w:pPr>
              <w:keepNext/>
              <w:keepLines/>
              <w:suppressAutoHyphens/>
              <w:ind w:right="113"/>
              <w:jc w:val="center"/>
              <w:rPr>
                <w:rFonts w:asciiTheme="minorHAnsi" w:hAnsiTheme="minorHAnsi" w:cs="Calibri"/>
                <w:b/>
                <w:sz w:val="20"/>
                <w:szCs w:val="20"/>
                <w:lang w:val="en-GB" w:eastAsia="de-CH"/>
              </w:rPr>
            </w:pPr>
          </w:p>
        </w:tc>
      </w:tr>
      <w:tr w:rsidR="001E3837" w:rsidRPr="00C54CEB" w:rsidTr="00BE5533">
        <w:trPr>
          <w:jc w:val="center"/>
        </w:trPr>
        <w:tc>
          <w:tcPr>
            <w:tcW w:w="1135" w:type="dxa"/>
            <w:vMerge/>
          </w:tcPr>
          <w:p w:rsidR="001E3837" w:rsidRPr="000A6B0A" w:rsidRDefault="001E3837">
            <w:pPr>
              <w:jc w:val="center"/>
              <w:rPr>
                <w:rFonts w:asciiTheme="minorHAnsi" w:hAnsiTheme="minorHAnsi" w:cs="Calibri"/>
                <w:b/>
                <w:sz w:val="20"/>
                <w:szCs w:val="20"/>
                <w:lang w:val="en-GB" w:eastAsia="de-CH"/>
              </w:rPr>
            </w:pPr>
          </w:p>
        </w:tc>
        <w:tc>
          <w:tcPr>
            <w:tcW w:w="1440"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Maintenance</w:t>
            </w:r>
          </w:p>
          <w:p w:rsidR="001E3837" w:rsidRPr="000A6B0A" w:rsidRDefault="001E3837">
            <w:pPr>
              <w:jc w:val="center"/>
              <w:rPr>
                <w:rFonts w:asciiTheme="minorHAnsi" w:hAnsiTheme="minorHAnsi" w:cs="Calibri"/>
                <w:b/>
                <w:sz w:val="20"/>
                <w:szCs w:val="20"/>
                <w:lang w:val="en-GB" w:eastAsia="de-CH"/>
              </w:rPr>
            </w:pPr>
          </w:p>
        </w:tc>
        <w:tc>
          <w:tcPr>
            <w:tcW w:w="1484" w:type="dxa"/>
            <w:vMerge/>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tc>
        <w:tc>
          <w:tcPr>
            <w:tcW w:w="2798" w:type="dxa"/>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Maximum speed</w:t>
            </w: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The train’s composition (number of axes)</w:t>
            </w: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The mean axial load</w:t>
            </w: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Quality of infrastructure provided</w:t>
            </w:r>
          </w:p>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tc>
        <w:tc>
          <w:tcPr>
            <w:tcW w:w="2126" w:type="dxa"/>
            <w:vMerge/>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tc>
      </w:tr>
      <w:tr w:rsidR="001E3837" w:rsidRPr="00C54CEB" w:rsidTr="00BE5533">
        <w:trPr>
          <w:jc w:val="center"/>
        </w:trPr>
        <w:tc>
          <w:tcPr>
            <w:tcW w:w="1135" w:type="dxa"/>
            <w:vMerge w:val="restart"/>
          </w:tcPr>
          <w:p w:rsidR="001E3837" w:rsidRPr="000A6B0A" w:rsidRDefault="001E3837">
            <w:pPr>
              <w:jc w:val="center"/>
              <w:rPr>
                <w:rFonts w:asciiTheme="minorHAnsi" w:hAnsiTheme="minorHAnsi" w:cs="Calibri"/>
                <w:b/>
                <w:sz w:val="20"/>
                <w:szCs w:val="20"/>
                <w:lang w:val="en-GB"/>
              </w:rPr>
            </w:pPr>
          </w:p>
          <w:p w:rsidR="001E3837" w:rsidRPr="000A6B0A" w:rsidRDefault="001E3837">
            <w:pPr>
              <w:jc w:val="center"/>
              <w:rPr>
                <w:rFonts w:asciiTheme="minorHAnsi" w:hAnsiTheme="minorHAnsi" w:cs="Calibri"/>
                <w:b/>
                <w:sz w:val="20"/>
                <w:szCs w:val="20"/>
                <w:lang w:val="en-GB"/>
              </w:rPr>
            </w:pPr>
          </w:p>
          <w:p w:rsidR="001E3837" w:rsidRPr="000A6B0A" w:rsidRDefault="001E3837">
            <w:pPr>
              <w:jc w:val="center"/>
              <w:rPr>
                <w:rFonts w:asciiTheme="minorHAnsi" w:hAnsiTheme="minorHAnsi" w:cs="Calibri"/>
                <w:b/>
                <w:sz w:val="20"/>
                <w:szCs w:val="20"/>
                <w:lang w:val="en-GB"/>
              </w:rPr>
            </w:pPr>
            <w:r w:rsidRPr="000A6B0A">
              <w:rPr>
                <w:rFonts w:asciiTheme="minorHAnsi" w:hAnsiTheme="minorHAnsi" w:cs="Calibri"/>
                <w:b/>
                <w:sz w:val="20"/>
                <w:szCs w:val="20"/>
                <w:lang w:val="en-GB"/>
              </w:rPr>
              <w:t>Additional costs</w:t>
            </w:r>
          </w:p>
        </w:tc>
        <w:tc>
          <w:tcPr>
            <w:tcW w:w="1440"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rPr>
              <w:t>Electrification</w:t>
            </w:r>
          </w:p>
        </w:tc>
        <w:tc>
          <w:tcPr>
            <w:tcW w:w="1484" w:type="dxa"/>
            <w:vAlign w:val="center"/>
          </w:tcPr>
          <w:p w:rsidR="001E3837" w:rsidRPr="000A6B0A" w:rsidRDefault="00976A6C"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 / train.</w:t>
            </w:r>
            <w:r w:rsidR="001E3837" w:rsidRPr="000A6B0A">
              <w:rPr>
                <w:rFonts w:asciiTheme="minorHAnsi" w:hAnsiTheme="minorHAnsi" w:cs="Calibri"/>
                <w:sz w:val="20"/>
                <w:szCs w:val="20"/>
                <w:lang w:val="en-GB" w:eastAsia="de-CH"/>
              </w:rPr>
              <w:t>km</w:t>
            </w:r>
          </w:p>
        </w:tc>
        <w:tc>
          <w:tcPr>
            <w:tcW w:w="2798" w:type="dxa"/>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 xml:space="preserve">Whenever using a route which operates under electrification </w:t>
            </w:r>
          </w:p>
        </w:tc>
        <w:tc>
          <w:tcPr>
            <w:tcW w:w="2126" w:type="dxa"/>
            <w:vMerge w:val="restart"/>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tc>
      </w:tr>
      <w:tr w:rsidR="001E3837" w:rsidRPr="000A6B0A" w:rsidTr="00BE5533">
        <w:trPr>
          <w:jc w:val="center"/>
        </w:trPr>
        <w:tc>
          <w:tcPr>
            <w:tcW w:w="1135" w:type="dxa"/>
            <w:vMerge/>
          </w:tcPr>
          <w:p w:rsidR="001E3837" w:rsidRPr="000A6B0A" w:rsidRDefault="001E3837">
            <w:pPr>
              <w:jc w:val="center"/>
              <w:rPr>
                <w:rFonts w:asciiTheme="minorHAnsi" w:hAnsiTheme="minorHAnsi" w:cs="Calibri"/>
                <w:b/>
                <w:sz w:val="20"/>
                <w:szCs w:val="20"/>
                <w:lang w:val="en-GB"/>
              </w:rPr>
            </w:pPr>
          </w:p>
        </w:tc>
        <w:tc>
          <w:tcPr>
            <w:tcW w:w="1440" w:type="dxa"/>
            <w:vAlign w:val="center"/>
          </w:tcPr>
          <w:p w:rsidR="001E3837" w:rsidRPr="000A6B0A" w:rsidRDefault="001E3837">
            <w:pPr>
              <w:jc w:val="center"/>
              <w:rPr>
                <w:rFonts w:asciiTheme="minorHAnsi" w:hAnsiTheme="minorHAnsi" w:cs="Calibri"/>
                <w:b/>
                <w:sz w:val="20"/>
                <w:szCs w:val="20"/>
                <w:lang w:val="en-GB"/>
              </w:rPr>
            </w:pPr>
            <w:r w:rsidRPr="000A6B0A">
              <w:rPr>
                <w:rFonts w:asciiTheme="minorHAnsi" w:hAnsiTheme="minorHAnsi" w:cs="Calibri"/>
                <w:b/>
                <w:sz w:val="20"/>
                <w:szCs w:val="20"/>
                <w:lang w:val="en-GB"/>
              </w:rPr>
              <w:t>Additional charges depending on the case</w:t>
            </w:r>
          </w:p>
          <w:p w:rsidR="001E3837" w:rsidRPr="000A6B0A" w:rsidRDefault="001E3837">
            <w:pPr>
              <w:jc w:val="center"/>
              <w:rPr>
                <w:rFonts w:asciiTheme="minorHAnsi" w:hAnsiTheme="minorHAnsi" w:cs="Calibri"/>
                <w:b/>
                <w:sz w:val="20"/>
                <w:szCs w:val="20"/>
                <w:lang w:val="en-GB"/>
              </w:rPr>
            </w:pPr>
          </w:p>
          <w:p w:rsidR="001E3837" w:rsidRPr="000A6B0A" w:rsidRDefault="001E3837">
            <w:pPr>
              <w:jc w:val="center"/>
              <w:rPr>
                <w:rFonts w:asciiTheme="minorHAnsi" w:hAnsiTheme="minorHAnsi" w:cs="Calibri"/>
                <w:b/>
                <w:sz w:val="20"/>
                <w:szCs w:val="20"/>
                <w:lang w:val="en-GB"/>
              </w:rPr>
            </w:pPr>
          </w:p>
        </w:tc>
        <w:tc>
          <w:tcPr>
            <w:tcW w:w="1484" w:type="dxa"/>
            <w:vAlign w:val="center"/>
          </w:tcPr>
          <w:p w:rsidR="001E3837" w:rsidRPr="000A6B0A" w:rsidRDefault="00976A6C"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No charge per unit : c</w:t>
            </w:r>
            <w:r w:rsidR="001E3837" w:rsidRPr="000A6B0A">
              <w:rPr>
                <w:rFonts w:asciiTheme="minorHAnsi" w:hAnsiTheme="minorHAnsi" w:cs="Calibri"/>
                <w:sz w:val="20"/>
                <w:szCs w:val="20"/>
                <w:lang w:val="en-GB" w:eastAsia="de-CH"/>
              </w:rPr>
              <w:t xml:space="preserve">harging </w:t>
            </w:r>
            <w:r w:rsidRPr="000A6B0A">
              <w:rPr>
                <w:rFonts w:asciiTheme="minorHAnsi" w:hAnsiTheme="minorHAnsi" w:cs="Calibri"/>
                <w:sz w:val="20"/>
                <w:szCs w:val="20"/>
                <w:lang w:val="en-GB" w:eastAsia="de-CH"/>
              </w:rPr>
              <w:t>on a case-by-case basis</w:t>
            </w:r>
          </w:p>
        </w:tc>
        <w:tc>
          <w:tcPr>
            <w:tcW w:w="2798" w:type="dxa"/>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r w:rsidRPr="000A6B0A">
              <w:rPr>
                <w:rFonts w:asciiTheme="minorHAnsi" w:hAnsiTheme="minorHAnsi" w:cs="Calibri"/>
                <w:sz w:val="20"/>
                <w:szCs w:val="20"/>
                <w:lang w:val="en-GB" w:eastAsia="de-CH"/>
              </w:rPr>
              <w:t>Special- dangerous consignments</w:t>
            </w:r>
          </w:p>
        </w:tc>
        <w:tc>
          <w:tcPr>
            <w:tcW w:w="2126" w:type="dxa"/>
            <w:vMerge/>
            <w:vAlign w:val="center"/>
          </w:tcPr>
          <w:p w:rsidR="001E3837" w:rsidRPr="000A6B0A" w:rsidRDefault="001E3837" w:rsidP="0086605D">
            <w:pPr>
              <w:keepNext/>
              <w:keepLines/>
              <w:suppressAutoHyphens/>
              <w:ind w:right="113"/>
              <w:jc w:val="center"/>
              <w:rPr>
                <w:rFonts w:asciiTheme="minorHAnsi" w:hAnsiTheme="minorHAnsi" w:cs="Calibri"/>
                <w:sz w:val="20"/>
                <w:szCs w:val="20"/>
                <w:lang w:val="en-GB" w:eastAsia="de-CH"/>
              </w:rPr>
            </w:pPr>
          </w:p>
        </w:tc>
      </w:tr>
    </w:tbl>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cs="Calibri"/>
          <w:smallCaps/>
          <w:sz w:val="24"/>
          <w:szCs w:val="24"/>
          <w:u w:val="single"/>
          <w:lang w:val="en-GB"/>
        </w:rPr>
        <w:br w:type="page"/>
      </w:r>
      <w:bookmarkStart w:id="60" w:name="_Toc461625132"/>
      <w:bookmarkStart w:id="61" w:name="_Toc461625234"/>
      <w:bookmarkStart w:id="62" w:name="_Toc496279028"/>
      <w:r w:rsidRPr="000A6B0A">
        <w:rPr>
          <w:rFonts w:asciiTheme="minorHAnsi" w:hAnsiTheme="minorHAnsi"/>
          <w:sz w:val="22"/>
          <w:szCs w:val="22"/>
          <w:lang w:val="en-GB"/>
        </w:rPr>
        <w:lastRenderedPageBreak/>
        <w:t>Hungary</w:t>
      </w:r>
      <w:bookmarkEnd w:id="60"/>
      <w:bookmarkEnd w:id="61"/>
      <w:bookmarkEnd w:id="62"/>
      <w:r w:rsidRPr="000A6B0A">
        <w:rPr>
          <w:rFonts w:asciiTheme="minorHAnsi" w:hAnsiTheme="minorHAnsi"/>
          <w:sz w:val="22"/>
          <w:szCs w:val="22"/>
          <w:lang w:val="en-GB"/>
        </w:rPr>
        <w:br/>
      </w:r>
    </w:p>
    <w:p w:rsidR="001E3837" w:rsidRPr="000A6B0A" w:rsidRDefault="001E38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Hungarian State Railway (MAV Co.) was established in 1992. In 2000, an internal separation of accounts occurred. Different entities were created in order to manage the main activities. In 2003 the first Hungarian Network Statement was released and opened the way to foreign RUs on the network in 2004 (4 freight companies at the end of the year). The same year, the independent Rail Capacity Allocation Body was created. In 2006, the Hungarian Railway Authority was set up.</w:t>
      </w:r>
      <w:r w:rsidR="00BE5533"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The Hungarian network has a total length of 7700km. It is owned and managed by the Infrastructure Management Business Unit that is a separate organisational entity, however still part of MAV Co. </w:t>
      </w:r>
    </w:p>
    <w:p w:rsidR="00984D5C" w:rsidRPr="000A6B0A" w:rsidRDefault="00984D5C" w:rsidP="0086605D">
      <w:pPr>
        <w:spacing w:line="276" w:lineRule="auto"/>
        <w:ind w:left="720"/>
        <w:jc w:val="both"/>
        <w:rPr>
          <w:rFonts w:asciiTheme="minorHAnsi" w:hAnsiTheme="minorHAnsi"/>
          <w:sz w:val="22"/>
          <w:szCs w:val="22"/>
          <w:lang w:val="en-GB"/>
        </w:rPr>
      </w:pPr>
    </w:p>
    <w:p w:rsidR="00984D5C" w:rsidRPr="000A6B0A" w:rsidRDefault="00984D5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Győr-Sopron-Ebenfurti Vasúti Co. (GYSEV Co.) was founded in 1872 and is owned mainly (94%) by the Hungarian and the Austrian State. The company operates in the North-Western region of Hungary and Austria. In Hungary GYSEV provides IM (in its geographical area) passenger and traction services and is considered as one of the two national PSO companies and also has a freight company (GYSEV Cargo) legally separated since 2010. The GYSEV network has a total length of more than 400km.</w:t>
      </w:r>
    </w:p>
    <w:p w:rsidR="00984D5C" w:rsidRPr="000A6B0A" w:rsidRDefault="00984D5C" w:rsidP="0086605D">
      <w:pPr>
        <w:spacing w:line="276" w:lineRule="auto"/>
        <w:ind w:left="720"/>
        <w:jc w:val="both"/>
        <w:rPr>
          <w:rFonts w:asciiTheme="minorHAnsi" w:hAnsiTheme="minorHAnsi"/>
          <w:sz w:val="22"/>
          <w:szCs w:val="22"/>
          <w:lang w:val="en-GB"/>
        </w:rPr>
      </w:pPr>
    </w:p>
    <w:p w:rsidR="001E3837" w:rsidRPr="000A6B0A" w:rsidRDefault="001E38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main principles of the access charge are the following:</w:t>
      </w:r>
    </w:p>
    <w:p w:rsidR="001E3837" w:rsidRPr="000A6B0A" w:rsidRDefault="001E3837"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no discrimination between RUs should take place</w:t>
      </w:r>
      <w:r w:rsidR="00E27140" w:rsidRPr="000A6B0A">
        <w:rPr>
          <w:rFonts w:asciiTheme="minorHAnsi" w:hAnsiTheme="minorHAnsi"/>
          <w:sz w:val="22"/>
          <w:szCs w:val="22"/>
          <w:lang w:val="en-GB"/>
        </w:rPr>
        <w:t>;</w:t>
      </w:r>
    </w:p>
    <w:p w:rsidR="001E3837" w:rsidRPr="000A6B0A" w:rsidRDefault="001E3837"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prices set by the </w:t>
      </w:r>
      <w:r w:rsidR="009617E5" w:rsidRPr="000A6B0A">
        <w:rPr>
          <w:rFonts w:asciiTheme="minorHAnsi" w:hAnsiTheme="minorHAnsi"/>
          <w:sz w:val="22"/>
          <w:szCs w:val="22"/>
          <w:lang w:val="en-GB"/>
        </w:rPr>
        <w:t>IM</w:t>
      </w:r>
      <w:r w:rsidRPr="000A6B0A">
        <w:rPr>
          <w:rFonts w:asciiTheme="minorHAnsi" w:hAnsiTheme="minorHAnsi"/>
          <w:sz w:val="22"/>
          <w:szCs w:val="22"/>
          <w:lang w:val="en-GB"/>
        </w:rPr>
        <w:t xml:space="preserve">s must reflect the total </w:t>
      </w:r>
      <w:r w:rsidR="00FC2A8E" w:rsidRPr="000A6B0A">
        <w:rPr>
          <w:rFonts w:asciiTheme="minorHAnsi" w:hAnsiTheme="minorHAnsi"/>
          <w:sz w:val="22"/>
          <w:szCs w:val="22"/>
          <w:lang w:val="en-GB"/>
        </w:rPr>
        <w:t xml:space="preserve">justified </w:t>
      </w:r>
      <w:r w:rsidRPr="000A6B0A">
        <w:rPr>
          <w:rFonts w:asciiTheme="minorHAnsi" w:hAnsiTheme="minorHAnsi"/>
          <w:sz w:val="22"/>
          <w:szCs w:val="22"/>
          <w:lang w:val="en-GB"/>
        </w:rPr>
        <w:t>costs</w:t>
      </w:r>
      <w:r w:rsidR="00E27140" w:rsidRPr="000A6B0A">
        <w:rPr>
          <w:rFonts w:asciiTheme="minorHAnsi" w:hAnsiTheme="minorHAnsi"/>
          <w:sz w:val="22"/>
          <w:szCs w:val="22"/>
          <w:lang w:val="en-GB"/>
        </w:rPr>
        <w:t>;</w:t>
      </w:r>
    </w:p>
    <w:p w:rsidR="001E3837" w:rsidRPr="000A6B0A" w:rsidRDefault="001E3837"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differentiation of the pricing system</w:t>
      </w:r>
      <w:r w:rsidR="00E27140" w:rsidRPr="000A6B0A">
        <w:rPr>
          <w:rFonts w:asciiTheme="minorHAnsi" w:hAnsiTheme="minorHAnsi"/>
          <w:sz w:val="22"/>
          <w:szCs w:val="22"/>
          <w:lang w:val="en-GB"/>
        </w:rPr>
        <w:t>;</w:t>
      </w:r>
    </w:p>
    <w:p w:rsidR="001E3837" w:rsidRPr="000A6B0A" w:rsidRDefault="001E3837"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bottom-up (engineering) approach</w:t>
      </w:r>
      <w:r w:rsidR="00E27140" w:rsidRPr="000A6B0A">
        <w:rPr>
          <w:rFonts w:asciiTheme="minorHAnsi" w:hAnsiTheme="minorHAnsi"/>
          <w:sz w:val="22"/>
          <w:szCs w:val="22"/>
          <w:lang w:val="en-GB"/>
        </w:rPr>
        <w:t>;</w:t>
      </w:r>
    </w:p>
    <w:p w:rsidR="001E3837" w:rsidRPr="000A6B0A" w:rsidRDefault="001E3837"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long term orders are preferred</w:t>
      </w:r>
      <w:r w:rsidR="00E27140" w:rsidRPr="000A6B0A">
        <w:rPr>
          <w:rFonts w:asciiTheme="minorHAnsi" w:hAnsiTheme="minorHAnsi"/>
          <w:sz w:val="22"/>
          <w:szCs w:val="22"/>
          <w:lang w:val="en-GB"/>
        </w:rPr>
        <w:t>.</w:t>
      </w:r>
    </w:p>
    <w:p w:rsidR="001E3837" w:rsidRPr="000A6B0A" w:rsidRDefault="001E3837" w:rsidP="00AC5C05">
      <w:pPr>
        <w:ind w:left="360"/>
        <w:rPr>
          <w:rFonts w:asciiTheme="minorHAnsi" w:hAnsiTheme="minorHAnsi" w:cs="Calibri"/>
          <w:b/>
          <w:smallCaps/>
          <w:sz w:val="24"/>
          <w:szCs w:val="24"/>
          <w:u w:val="single"/>
          <w:lang w:val="en-GB"/>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980"/>
        <w:gridCol w:w="3031"/>
        <w:gridCol w:w="2229"/>
      </w:tblGrid>
      <w:tr w:rsidR="002822DF" w:rsidRPr="000A6B0A" w:rsidTr="00BE5533">
        <w:trPr>
          <w:jc w:val="center"/>
        </w:trPr>
        <w:tc>
          <w:tcPr>
            <w:tcW w:w="1273"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98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031"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229"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1E3837" w:rsidRPr="00C54CEB" w:rsidTr="00BE5533">
        <w:trPr>
          <w:jc w:val="center"/>
        </w:trPr>
        <w:tc>
          <w:tcPr>
            <w:tcW w:w="1273"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Minimum access package</w:t>
            </w:r>
          </w:p>
        </w:tc>
        <w:tc>
          <w:tcPr>
            <w:tcW w:w="198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paths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976A6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w:t>
            </w:r>
            <w:r w:rsidR="001E3837" w:rsidRPr="000A6B0A">
              <w:rPr>
                <w:rFonts w:asciiTheme="minorHAnsi" w:hAnsiTheme="minorHAnsi" w:cs="Calibri"/>
                <w:sz w:val="20"/>
                <w:lang w:val="en-GB"/>
              </w:rPr>
              <w:t>km</w:t>
            </w:r>
          </w:p>
        </w:tc>
        <w:tc>
          <w:tcPr>
            <w:tcW w:w="303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Path allocation</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 running</w:t>
            </w:r>
          </w:p>
        </w:tc>
        <w:tc>
          <w:tcPr>
            <w:tcW w:w="2229"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MAV Co. is seeking a full cost recovery without profit</w:t>
            </w:r>
          </w:p>
        </w:tc>
      </w:tr>
      <w:tr w:rsidR="001E3837" w:rsidRPr="00C54CEB" w:rsidTr="00BE5533">
        <w:trPr>
          <w:jc w:val="center"/>
        </w:trPr>
        <w:tc>
          <w:tcPr>
            <w:tcW w:w="1273"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Access to service facilities</w:t>
            </w:r>
          </w:p>
        </w:tc>
        <w:tc>
          <w:tcPr>
            <w:tcW w:w="1980" w:type="dxa"/>
            <w:vAlign w:val="center"/>
          </w:tcPr>
          <w:p w:rsidR="001E3837" w:rsidRPr="000A6B0A" w:rsidRDefault="00976A6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Electric train.</w:t>
            </w:r>
            <w:r w:rsidR="001E3837" w:rsidRPr="000A6B0A">
              <w:rPr>
                <w:rFonts w:asciiTheme="minorHAnsi" w:hAnsiTheme="minorHAnsi" w:cs="Calibri"/>
                <w:sz w:val="20"/>
                <w:lang w:val="en-GB"/>
              </w:rPr>
              <w:t>km</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stops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 departures/ destination</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cases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Person/hours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cases</w:t>
            </w:r>
          </w:p>
        </w:tc>
        <w:tc>
          <w:tcPr>
            <w:tcW w:w="303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Use of overhead catenaries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train stops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train departures/destinations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train start/interim/destination usage</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wagon access to loading/unloading tracks (station usage for serving)</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Rail vehicle storage</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Access to weighting facilities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Additional personnel</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train check in</w:t>
            </w:r>
          </w:p>
        </w:tc>
        <w:tc>
          <w:tcPr>
            <w:tcW w:w="2229" w:type="dxa"/>
            <w:vMerge w:val="restart"/>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Shall relate to the cost of providing it, calculated on the basis of the actual level of use</w:t>
            </w:r>
          </w:p>
          <w:p w:rsidR="001E3837" w:rsidRPr="000A6B0A" w:rsidRDefault="001E3837" w:rsidP="0086605D">
            <w:pPr>
              <w:pStyle w:val="Tabellentextrechts"/>
              <w:spacing w:before="0" w:after="0"/>
              <w:jc w:val="center"/>
              <w:rPr>
                <w:rFonts w:asciiTheme="minorHAnsi" w:hAnsiTheme="minorHAnsi" w:cs="Calibri"/>
                <w:sz w:val="20"/>
                <w:lang w:val="en-GB"/>
              </w:rPr>
            </w:pPr>
          </w:p>
        </w:tc>
      </w:tr>
      <w:tr w:rsidR="001E3837" w:rsidRPr="00C54CEB" w:rsidTr="00BE5533">
        <w:trPr>
          <w:jc w:val="center"/>
        </w:trPr>
        <w:tc>
          <w:tcPr>
            <w:tcW w:w="1273"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Additional services</w:t>
            </w:r>
          </w:p>
        </w:tc>
        <w:tc>
          <w:tcPr>
            <w:tcW w:w="198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wagons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cases</w:t>
            </w:r>
          </w:p>
          <w:p w:rsidR="001E3837" w:rsidRPr="000A6B0A" w:rsidRDefault="001E3837" w:rsidP="0086605D">
            <w:pPr>
              <w:pStyle w:val="Tabellentextrechts"/>
              <w:spacing w:before="0" w:after="0"/>
              <w:jc w:val="center"/>
              <w:rPr>
                <w:rFonts w:asciiTheme="minorHAnsi" w:hAnsiTheme="minorHAnsi" w:cs="Calibri"/>
                <w:sz w:val="20"/>
                <w:lang w:val="en-GB"/>
              </w:rPr>
            </w:pP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Hours</w:t>
            </w:r>
          </w:p>
        </w:tc>
        <w:tc>
          <w:tcPr>
            <w:tcW w:w="303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lastRenderedPageBreak/>
              <w:t>Marshalling, shunting and consignment of freight wagons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Weighting</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Change of axles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Forwarding of dangerous and </w:t>
            </w:r>
            <w:r w:rsidRPr="000A6B0A">
              <w:rPr>
                <w:rFonts w:asciiTheme="minorHAnsi" w:hAnsiTheme="minorHAnsi" w:cs="Calibri"/>
                <w:sz w:val="20"/>
                <w:lang w:val="en-GB"/>
              </w:rPr>
              <w:lastRenderedPageBreak/>
              <w:t>outsized goods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Usage of normal gauge bogies</w:t>
            </w:r>
          </w:p>
        </w:tc>
        <w:tc>
          <w:tcPr>
            <w:tcW w:w="2229" w:type="dxa"/>
            <w:vMerge/>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p>
        </w:tc>
      </w:tr>
      <w:tr w:rsidR="001E3837" w:rsidRPr="00C54CEB" w:rsidTr="00BE5533">
        <w:trPr>
          <w:jc w:val="center"/>
        </w:trPr>
        <w:tc>
          <w:tcPr>
            <w:tcW w:w="1273" w:type="dxa"/>
            <w:vAlign w:val="center"/>
          </w:tcPr>
          <w:p w:rsidR="001E3837" w:rsidRPr="000A6B0A" w:rsidRDefault="001E3837">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lastRenderedPageBreak/>
              <w:t>Ancillary services</w:t>
            </w:r>
          </w:p>
        </w:tc>
        <w:tc>
          <w:tcPr>
            <w:tcW w:w="1980"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Number of cases</w:t>
            </w:r>
          </w:p>
        </w:tc>
        <w:tc>
          <w:tcPr>
            <w:tcW w:w="303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Education and examination of personnel</w:t>
            </w:r>
          </w:p>
        </w:tc>
        <w:tc>
          <w:tcPr>
            <w:tcW w:w="2229" w:type="dxa"/>
            <w:vMerge/>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p>
        </w:tc>
      </w:tr>
    </w:tbl>
    <w:p w:rsidR="00D130AD"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cs="Calibri"/>
          <w:b w:val="0"/>
          <w:smallCaps/>
          <w:sz w:val="24"/>
          <w:szCs w:val="24"/>
          <w:u w:val="single"/>
          <w:lang w:val="en-GB"/>
        </w:rPr>
        <w:br w:type="page"/>
      </w:r>
      <w:bookmarkStart w:id="63" w:name="_Toc461625133"/>
      <w:bookmarkStart w:id="64" w:name="_Toc461625235"/>
      <w:bookmarkStart w:id="65" w:name="_Toc496279029"/>
      <w:r w:rsidR="00D130AD" w:rsidRPr="000A6B0A">
        <w:rPr>
          <w:rFonts w:asciiTheme="minorHAnsi" w:hAnsiTheme="minorHAnsi"/>
          <w:sz w:val="22"/>
          <w:szCs w:val="22"/>
          <w:lang w:val="en-GB"/>
        </w:rPr>
        <w:lastRenderedPageBreak/>
        <w:t>Italy</w:t>
      </w:r>
      <w:bookmarkEnd w:id="63"/>
      <w:bookmarkEnd w:id="64"/>
      <w:bookmarkEnd w:id="65"/>
    </w:p>
    <w:p w:rsidR="00D130AD" w:rsidRPr="000A6B0A" w:rsidRDefault="00D130AD" w:rsidP="00D130AD">
      <w:pPr>
        <w:ind w:left="360"/>
        <w:rPr>
          <w:rFonts w:asciiTheme="minorHAnsi" w:hAnsiTheme="minorHAnsi"/>
          <w:b/>
          <w:smallCaps/>
          <w:sz w:val="22"/>
          <w:szCs w:val="22"/>
          <w:lang w:val="en-GB"/>
        </w:rPr>
      </w:pPr>
    </w:p>
    <w:p w:rsidR="00C417E1" w:rsidRDefault="00C417E1" w:rsidP="0086605D">
      <w:pPr>
        <w:spacing w:line="276" w:lineRule="auto"/>
        <w:jc w:val="both"/>
        <w:rPr>
          <w:rFonts w:asciiTheme="minorHAnsi" w:hAnsiTheme="minorHAnsi"/>
          <w:sz w:val="22"/>
          <w:szCs w:val="22"/>
          <w:lang w:val="en-GB"/>
        </w:rPr>
      </w:pPr>
      <w:r>
        <w:rPr>
          <w:rFonts w:asciiTheme="minorHAnsi" w:hAnsiTheme="minorHAnsi"/>
          <w:sz w:val="22"/>
          <w:szCs w:val="22"/>
          <w:lang w:val="en-GB"/>
        </w:rPr>
        <w:t>In Italy, the charging system in place applied to the all lines is based on the economic regulation issued by ART in November 2015 (Decision 96/2015), that follows the relevant EU</w:t>
      </w:r>
      <w:r w:rsidR="00B613A1">
        <w:rPr>
          <w:rFonts w:asciiTheme="minorHAnsi" w:hAnsiTheme="minorHAnsi"/>
          <w:sz w:val="22"/>
          <w:szCs w:val="22"/>
          <w:lang w:val="en-GB"/>
        </w:rPr>
        <w:t xml:space="preserve"> and Italian</w:t>
      </w:r>
      <w:r>
        <w:rPr>
          <w:rFonts w:asciiTheme="minorHAnsi" w:hAnsiTheme="minorHAnsi"/>
          <w:sz w:val="22"/>
          <w:szCs w:val="22"/>
          <w:lang w:val="en-GB"/>
        </w:rPr>
        <w:t xml:space="preserve"> regulation (in particular,</w:t>
      </w:r>
      <w:r w:rsidR="00B613A1">
        <w:rPr>
          <w:rFonts w:asciiTheme="minorHAnsi" w:hAnsiTheme="minorHAnsi"/>
          <w:sz w:val="22"/>
          <w:szCs w:val="22"/>
          <w:lang w:val="en-GB"/>
        </w:rPr>
        <w:t xml:space="preserve"> on the EU side, the Recast,</w:t>
      </w:r>
      <w:r>
        <w:rPr>
          <w:rFonts w:asciiTheme="minorHAnsi" w:hAnsiTheme="minorHAnsi"/>
          <w:sz w:val="22"/>
          <w:szCs w:val="22"/>
          <w:lang w:val="en-GB"/>
        </w:rPr>
        <w:t xml:space="preserve"> Regulation 2015/909 and Regulation 2015/429</w:t>
      </w:r>
      <w:r w:rsidR="00B613A1">
        <w:rPr>
          <w:rFonts w:asciiTheme="minorHAnsi" w:hAnsiTheme="minorHAnsi"/>
          <w:sz w:val="22"/>
          <w:szCs w:val="22"/>
          <w:lang w:val="en-GB"/>
        </w:rPr>
        <w:t>, while on the national side, the Legislative Decree 112/2015</w:t>
      </w:r>
      <w:r>
        <w:rPr>
          <w:rFonts w:asciiTheme="minorHAnsi" w:hAnsiTheme="minorHAnsi"/>
          <w:sz w:val="22"/>
          <w:szCs w:val="22"/>
          <w:lang w:val="en-GB"/>
        </w:rPr>
        <w:t>)</w:t>
      </w:r>
      <w:r>
        <w:rPr>
          <w:rStyle w:val="Appelnotedebasdep"/>
          <w:rFonts w:asciiTheme="minorHAnsi" w:hAnsiTheme="minorHAnsi"/>
          <w:sz w:val="22"/>
          <w:szCs w:val="22"/>
          <w:lang w:val="en-GB"/>
        </w:rPr>
        <w:footnoteReference w:id="87"/>
      </w:r>
      <w:r>
        <w:rPr>
          <w:rFonts w:asciiTheme="minorHAnsi" w:hAnsiTheme="minorHAnsi"/>
          <w:sz w:val="22"/>
          <w:szCs w:val="22"/>
          <w:lang w:val="en-GB"/>
        </w:rPr>
        <w:t xml:space="preserve">. The new regulatory framework includes both costing and charging rules and introduces regulatory accountability obligations on the IM and different verification procedures along the regulatory period that lasts 5 years. </w:t>
      </w:r>
    </w:p>
    <w:p w:rsidR="00C417E1" w:rsidRDefault="00C417E1" w:rsidP="0086605D">
      <w:pPr>
        <w:spacing w:line="276" w:lineRule="auto"/>
        <w:jc w:val="both"/>
        <w:rPr>
          <w:rFonts w:asciiTheme="minorHAnsi" w:hAnsiTheme="minorHAnsi"/>
          <w:sz w:val="22"/>
          <w:szCs w:val="22"/>
          <w:lang w:val="en-GB"/>
        </w:rPr>
      </w:pPr>
    </w:p>
    <w:p w:rsidR="00C417E1" w:rsidRDefault="00C417E1" w:rsidP="0086605D">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The identification of the perimeter of admissible costs to be recovered by the IM with access charges follows these principles and criteria: (i) only the relevant costs for operating the train service are considered, distinguishing direct costs from other costs; (ii) a full (efficient) cost approach, where a 2% annual efficiency target on operative costs is set for the IM; (iii) the CAPM/WACC methodology for the computation of the cost of capital is adopted. </w:t>
      </w:r>
    </w:p>
    <w:p w:rsidR="00C417E1" w:rsidRDefault="00C417E1" w:rsidP="0086605D">
      <w:pPr>
        <w:spacing w:line="276" w:lineRule="auto"/>
        <w:jc w:val="both"/>
        <w:rPr>
          <w:rFonts w:asciiTheme="minorHAnsi" w:hAnsiTheme="minorHAnsi"/>
          <w:sz w:val="22"/>
          <w:szCs w:val="22"/>
          <w:lang w:val="en-GB"/>
        </w:rPr>
      </w:pPr>
    </w:p>
    <w:p w:rsidR="00C417E1" w:rsidRDefault="00C417E1" w:rsidP="0086605D">
      <w:pPr>
        <w:spacing w:line="276" w:lineRule="auto"/>
        <w:jc w:val="both"/>
        <w:rPr>
          <w:rFonts w:asciiTheme="minorHAnsi" w:hAnsiTheme="minorHAnsi"/>
          <w:sz w:val="22"/>
          <w:szCs w:val="22"/>
          <w:lang w:val="en-GB"/>
        </w:rPr>
      </w:pPr>
      <w:r>
        <w:rPr>
          <w:rFonts w:asciiTheme="minorHAnsi" w:hAnsiTheme="minorHAnsi"/>
          <w:sz w:val="22"/>
          <w:szCs w:val="22"/>
          <w:lang w:val="en-GB"/>
        </w:rPr>
        <w:t xml:space="preserve">The charging </w:t>
      </w:r>
      <w:r w:rsidR="00B613A1">
        <w:rPr>
          <w:rFonts w:asciiTheme="minorHAnsi" w:hAnsiTheme="minorHAnsi"/>
          <w:sz w:val="22"/>
          <w:szCs w:val="22"/>
          <w:lang w:val="en-GB"/>
        </w:rPr>
        <w:t xml:space="preserve">system </w:t>
      </w:r>
      <w:r>
        <w:rPr>
          <w:rFonts w:asciiTheme="minorHAnsi" w:hAnsiTheme="minorHAnsi"/>
          <w:sz w:val="22"/>
          <w:szCs w:val="22"/>
          <w:lang w:val="en-GB"/>
        </w:rPr>
        <w:t xml:space="preserve">established by the IM is modulated in components: (i) </w:t>
      </w:r>
      <w:r w:rsidR="00B613A1">
        <w:rPr>
          <w:rFonts w:asciiTheme="minorHAnsi" w:hAnsiTheme="minorHAnsi"/>
          <w:sz w:val="22"/>
          <w:szCs w:val="22"/>
          <w:lang w:val="en-GB"/>
        </w:rPr>
        <w:t xml:space="preserve">A component: </w:t>
      </w:r>
      <w:r>
        <w:rPr>
          <w:rFonts w:asciiTheme="minorHAnsi" w:hAnsiTheme="minorHAnsi"/>
          <w:sz w:val="22"/>
          <w:szCs w:val="22"/>
          <w:lang w:val="en-GB"/>
        </w:rPr>
        <w:t xml:space="preserve">direct costs (depending on mass, speed and contact wire related to the rolling stock used by the railway undertaking); (ii) </w:t>
      </w:r>
      <w:r w:rsidR="00B613A1">
        <w:rPr>
          <w:rFonts w:asciiTheme="minorHAnsi" w:hAnsiTheme="minorHAnsi"/>
          <w:sz w:val="22"/>
          <w:szCs w:val="22"/>
          <w:lang w:val="en-GB"/>
        </w:rPr>
        <w:t xml:space="preserve">B component: </w:t>
      </w:r>
      <w:r>
        <w:rPr>
          <w:rFonts w:asciiTheme="minorHAnsi" w:hAnsiTheme="minorHAnsi"/>
          <w:sz w:val="22"/>
          <w:szCs w:val="22"/>
          <w:lang w:val="en-GB"/>
        </w:rPr>
        <w:t xml:space="preserve">mark-ups; (iii) </w:t>
      </w:r>
      <w:r w:rsidR="00B613A1">
        <w:rPr>
          <w:rFonts w:asciiTheme="minorHAnsi" w:hAnsiTheme="minorHAnsi"/>
          <w:sz w:val="22"/>
          <w:szCs w:val="22"/>
          <w:lang w:val="en-GB"/>
        </w:rPr>
        <w:t xml:space="preserve">C component: </w:t>
      </w:r>
      <w:r>
        <w:rPr>
          <w:rFonts w:asciiTheme="minorHAnsi" w:hAnsiTheme="minorHAnsi"/>
          <w:sz w:val="22"/>
          <w:szCs w:val="22"/>
          <w:lang w:val="en-GB"/>
        </w:rPr>
        <w:t xml:space="preserve">other </w:t>
      </w:r>
      <w:r w:rsidR="00B613A1">
        <w:rPr>
          <w:rFonts w:asciiTheme="minorHAnsi" w:hAnsiTheme="minorHAnsi"/>
          <w:sz w:val="22"/>
          <w:szCs w:val="22"/>
          <w:lang w:val="en-GB"/>
        </w:rPr>
        <w:t>elements</w:t>
      </w:r>
      <w:r>
        <w:rPr>
          <w:rFonts w:asciiTheme="minorHAnsi" w:hAnsiTheme="minorHAnsi"/>
          <w:sz w:val="22"/>
          <w:szCs w:val="22"/>
          <w:lang w:val="en-GB"/>
        </w:rPr>
        <w:t xml:space="preserve"> (for scarcity, environmental incentives, ETCS, etc.).</w:t>
      </w:r>
    </w:p>
    <w:p w:rsidR="00C417E1" w:rsidRDefault="00C417E1" w:rsidP="0086605D">
      <w:pPr>
        <w:spacing w:line="276" w:lineRule="auto"/>
        <w:jc w:val="both"/>
        <w:rPr>
          <w:rFonts w:asciiTheme="minorHAnsi" w:hAnsiTheme="minorHAnsi"/>
          <w:sz w:val="22"/>
          <w:szCs w:val="22"/>
          <w:lang w:val="en-GB"/>
        </w:rPr>
      </w:pPr>
    </w:p>
    <w:p w:rsidR="00C417E1" w:rsidRDefault="00C417E1" w:rsidP="0086605D">
      <w:pPr>
        <w:spacing w:line="276" w:lineRule="auto"/>
        <w:jc w:val="both"/>
        <w:rPr>
          <w:rFonts w:asciiTheme="minorHAnsi" w:hAnsiTheme="minorHAnsi"/>
          <w:sz w:val="22"/>
          <w:szCs w:val="22"/>
          <w:lang w:val="en-GB"/>
        </w:rPr>
      </w:pPr>
      <w:r>
        <w:rPr>
          <w:rFonts w:asciiTheme="minorHAnsi" w:hAnsiTheme="minorHAnsi"/>
          <w:sz w:val="22"/>
          <w:szCs w:val="22"/>
          <w:lang w:val="en-GB"/>
        </w:rPr>
        <w:t>In July 2016, the Italian IM adopted the access charges for the regulatory period 2016-2021. The new set of charges successfully passed the verification procedure set by the regulatory body. It foresees 24 different market segments that belong to 8 main categories: technical services, maritime services, PSO regional passenger services, PSO national passenger services, open access international passenger services, open access basic national passenger services, OA national premium passenger services, freight services.</w:t>
      </w:r>
    </w:p>
    <w:p w:rsidR="00C417E1" w:rsidRDefault="00C417E1" w:rsidP="0086605D">
      <w:pPr>
        <w:spacing w:line="276" w:lineRule="auto"/>
        <w:jc w:val="both"/>
        <w:rPr>
          <w:rFonts w:asciiTheme="minorHAnsi" w:hAnsiTheme="minorHAnsi"/>
          <w:sz w:val="22"/>
          <w:szCs w:val="22"/>
          <w:lang w:val="en-GB"/>
        </w:rPr>
      </w:pPr>
    </w:p>
    <w:p w:rsidR="00C417E1" w:rsidRPr="0086605D" w:rsidRDefault="00C417E1" w:rsidP="0086605D">
      <w:pPr>
        <w:spacing w:line="276" w:lineRule="auto"/>
        <w:rPr>
          <w:rFonts w:ascii="Times New Roman" w:hAnsi="Times New Roman" w:cs="Times New Roman"/>
          <w:sz w:val="24"/>
          <w:szCs w:val="24"/>
          <w:lang w:val="en-US" w:eastAsia="fr-FR"/>
        </w:rPr>
      </w:pPr>
      <w:r>
        <w:rPr>
          <w:rFonts w:asciiTheme="minorHAnsi" w:hAnsiTheme="minorHAnsi"/>
          <w:sz w:val="22"/>
          <w:szCs w:val="22"/>
          <w:lang w:val="en-GB"/>
        </w:rPr>
        <w:t>The table below sets out the principal elements of the access charges system according to the regulation issued by ART in November 2015</w:t>
      </w:r>
      <w:r w:rsidR="00E231B4" w:rsidRPr="0086605D">
        <w:rPr>
          <w:rStyle w:val="Appelnotedebasdep"/>
          <w:rFonts w:asciiTheme="minorHAnsi" w:hAnsiTheme="minorHAnsi"/>
          <w:sz w:val="22"/>
          <w:szCs w:val="22"/>
          <w:lang w:val="en-GB"/>
        </w:rPr>
        <w:footnoteReference w:id="88"/>
      </w:r>
      <w:r>
        <w:rPr>
          <w:rFonts w:asciiTheme="minorHAnsi" w:hAnsiTheme="minorHAnsi"/>
          <w:sz w:val="22"/>
          <w:szCs w:val="22"/>
          <w:lang w:val="en-GB"/>
        </w:rPr>
        <w:t>:</w:t>
      </w:r>
    </w:p>
    <w:p w:rsidR="00D130AD" w:rsidRPr="000A6B0A" w:rsidRDefault="00D130AD" w:rsidP="00D130AD">
      <w:pPr>
        <w:ind w:left="720"/>
        <w:jc w:val="both"/>
        <w:rPr>
          <w:rFonts w:asciiTheme="minorHAnsi" w:hAnsiTheme="minorHAnsi" w:cs="Calibri"/>
          <w:color w:val="008000"/>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276"/>
        <w:gridCol w:w="3049"/>
        <w:gridCol w:w="2340"/>
      </w:tblGrid>
      <w:tr w:rsidR="00D130AD" w:rsidRPr="000A6B0A" w:rsidTr="001A3238">
        <w:trPr>
          <w:jc w:val="center"/>
        </w:trPr>
        <w:tc>
          <w:tcPr>
            <w:tcW w:w="1310" w:type="dxa"/>
            <w:shd w:val="pct50" w:color="auto" w:fill="auto"/>
            <w:vAlign w:val="center"/>
          </w:tcPr>
          <w:p w:rsidR="00D130AD" w:rsidRPr="009C767D" w:rsidRDefault="00D130AD" w:rsidP="0086605D">
            <w:pPr>
              <w:pStyle w:val="Tabellenkopf"/>
              <w:spacing w:before="0" w:after="0"/>
              <w:jc w:val="center"/>
              <w:rPr>
                <w:rFonts w:asciiTheme="minorHAnsi" w:hAnsiTheme="minorHAnsi" w:cs="Calibri"/>
                <w:b/>
                <w:color w:val="FFFFFF"/>
                <w:sz w:val="20"/>
                <w:lang w:val="en-GB"/>
              </w:rPr>
            </w:pPr>
            <w:r w:rsidRPr="009C767D">
              <w:rPr>
                <w:rFonts w:asciiTheme="minorHAnsi" w:hAnsiTheme="minorHAnsi" w:cs="Calibri"/>
                <w:b/>
                <w:color w:val="FFFFFF"/>
                <w:sz w:val="20"/>
                <w:lang w:val="en-GB"/>
              </w:rPr>
              <w:t>Charge</w:t>
            </w:r>
          </w:p>
        </w:tc>
        <w:tc>
          <w:tcPr>
            <w:tcW w:w="1276" w:type="dxa"/>
            <w:shd w:val="pct50" w:color="auto" w:fill="auto"/>
            <w:vAlign w:val="center"/>
          </w:tcPr>
          <w:p w:rsidR="00D130AD" w:rsidRPr="009C767D" w:rsidRDefault="00D130AD" w:rsidP="0086605D">
            <w:pPr>
              <w:pStyle w:val="Tabellenkopf"/>
              <w:spacing w:before="0" w:after="0"/>
              <w:jc w:val="center"/>
              <w:rPr>
                <w:rFonts w:asciiTheme="minorHAnsi" w:hAnsiTheme="minorHAnsi" w:cs="Calibri"/>
                <w:b/>
                <w:color w:val="FFFFFF"/>
                <w:sz w:val="20"/>
                <w:lang w:val="en-GB"/>
              </w:rPr>
            </w:pPr>
            <w:r w:rsidRPr="009C767D">
              <w:rPr>
                <w:rFonts w:asciiTheme="minorHAnsi" w:hAnsiTheme="minorHAnsi" w:cs="Calibri"/>
                <w:b/>
                <w:color w:val="FFFFFF"/>
                <w:sz w:val="20"/>
                <w:lang w:val="en-GB"/>
              </w:rPr>
              <w:t>Unit</w:t>
            </w:r>
          </w:p>
        </w:tc>
        <w:tc>
          <w:tcPr>
            <w:tcW w:w="3049" w:type="dxa"/>
            <w:shd w:val="pct50" w:color="auto" w:fill="auto"/>
            <w:vAlign w:val="center"/>
          </w:tcPr>
          <w:p w:rsidR="00D130AD" w:rsidRPr="009C767D" w:rsidRDefault="00D130AD" w:rsidP="0086605D">
            <w:pPr>
              <w:pStyle w:val="Tabellenkopf"/>
              <w:spacing w:before="0" w:after="0"/>
              <w:jc w:val="center"/>
              <w:rPr>
                <w:rFonts w:asciiTheme="minorHAnsi" w:hAnsiTheme="minorHAnsi" w:cs="Calibri"/>
                <w:b/>
                <w:color w:val="FFFFFF"/>
                <w:sz w:val="20"/>
                <w:lang w:val="en-GB"/>
              </w:rPr>
            </w:pPr>
            <w:r w:rsidRPr="009C767D">
              <w:rPr>
                <w:rFonts w:asciiTheme="minorHAnsi" w:hAnsiTheme="minorHAnsi" w:cs="Calibri"/>
                <w:b/>
                <w:color w:val="FFFFFF"/>
                <w:sz w:val="20"/>
                <w:lang w:val="en-GB"/>
              </w:rPr>
              <w:t>Market segmentation</w:t>
            </w:r>
          </w:p>
        </w:tc>
        <w:tc>
          <w:tcPr>
            <w:tcW w:w="2340" w:type="dxa"/>
            <w:shd w:val="pct50" w:color="auto" w:fill="auto"/>
            <w:vAlign w:val="center"/>
          </w:tcPr>
          <w:p w:rsidR="00D130AD" w:rsidRPr="009C767D" w:rsidRDefault="00D130AD" w:rsidP="0086605D">
            <w:pPr>
              <w:pStyle w:val="Tabellenkopf"/>
              <w:spacing w:before="0" w:after="0"/>
              <w:jc w:val="center"/>
              <w:rPr>
                <w:rFonts w:asciiTheme="minorHAnsi" w:hAnsiTheme="minorHAnsi" w:cs="Calibri"/>
                <w:b/>
                <w:color w:val="FFFFFF"/>
                <w:sz w:val="20"/>
                <w:lang w:val="en-GB"/>
              </w:rPr>
            </w:pPr>
            <w:r w:rsidRPr="009C767D">
              <w:rPr>
                <w:rFonts w:asciiTheme="minorHAnsi" w:hAnsiTheme="minorHAnsi" w:cs="Calibri"/>
                <w:b/>
                <w:color w:val="FFFFFF"/>
                <w:sz w:val="20"/>
                <w:lang w:val="en-GB"/>
              </w:rPr>
              <w:t>Cost covered</w:t>
            </w:r>
          </w:p>
        </w:tc>
      </w:tr>
      <w:tr w:rsidR="00D130AD" w:rsidRPr="000A6B0A" w:rsidTr="001A3238">
        <w:trPr>
          <w:jc w:val="center"/>
        </w:trPr>
        <w:tc>
          <w:tcPr>
            <w:tcW w:w="1310" w:type="dxa"/>
            <w:vAlign w:val="center"/>
          </w:tcPr>
          <w:p w:rsidR="00D130AD" w:rsidRPr="000A6B0A" w:rsidRDefault="00D130AD">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Access charge</w:t>
            </w:r>
            <w:r w:rsidR="00622EBD" w:rsidRPr="000A6B0A">
              <w:rPr>
                <w:rFonts w:asciiTheme="minorHAnsi" w:hAnsiTheme="minorHAnsi" w:cs="Calibri"/>
                <w:b/>
                <w:sz w:val="20"/>
                <w:szCs w:val="20"/>
                <w:lang w:val="en-GB" w:eastAsia="de-CH"/>
              </w:rPr>
              <w:t>s: A component</w:t>
            </w:r>
          </w:p>
        </w:tc>
        <w:tc>
          <w:tcPr>
            <w:tcW w:w="1276" w:type="dxa"/>
            <w:vAlign w:val="center"/>
          </w:tcPr>
          <w:p w:rsidR="00D130AD" w:rsidRPr="000A6B0A" w:rsidRDefault="00A17B8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w:t>
            </w:r>
            <w:r w:rsidR="00622EBD" w:rsidRPr="000A6B0A">
              <w:rPr>
                <w:rFonts w:asciiTheme="minorHAnsi" w:hAnsiTheme="minorHAnsi" w:cs="Calibri"/>
                <w:sz w:val="20"/>
                <w:lang w:val="en-GB"/>
              </w:rPr>
              <w:t>ain.km</w:t>
            </w:r>
          </w:p>
        </w:tc>
        <w:tc>
          <w:tcPr>
            <w:tcW w:w="3049" w:type="dxa"/>
            <w:vAlign w:val="center"/>
          </w:tcPr>
          <w:p w:rsidR="00D130AD" w:rsidRPr="000A6B0A" w:rsidRDefault="00D130AD"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Depending on the </w:t>
            </w:r>
            <w:r w:rsidR="00622EBD" w:rsidRPr="000A6B0A">
              <w:rPr>
                <w:rFonts w:asciiTheme="minorHAnsi" w:hAnsiTheme="minorHAnsi" w:cs="Calibri"/>
                <w:sz w:val="20"/>
                <w:lang w:val="en-GB"/>
              </w:rPr>
              <w:t>mass, the speed and the use of contact wire by the rolling stock used by the railway undertaking</w:t>
            </w:r>
          </w:p>
        </w:tc>
        <w:tc>
          <w:tcPr>
            <w:tcW w:w="2340" w:type="dxa"/>
            <w:vAlign w:val="center"/>
          </w:tcPr>
          <w:p w:rsidR="00D130AD" w:rsidRPr="000A6B0A" w:rsidRDefault="00622EBD">
            <w:pPr>
              <w:ind w:left="72"/>
              <w:rPr>
                <w:rFonts w:asciiTheme="minorHAnsi" w:hAnsiTheme="minorHAnsi"/>
                <w:sz w:val="20"/>
                <w:szCs w:val="20"/>
                <w:lang w:val="en-GB"/>
              </w:rPr>
            </w:pPr>
            <w:r w:rsidRPr="000A6B0A">
              <w:rPr>
                <w:rFonts w:asciiTheme="minorHAnsi" w:hAnsiTheme="minorHAnsi"/>
                <w:sz w:val="20"/>
                <w:szCs w:val="20"/>
                <w:lang w:val="en-GB"/>
              </w:rPr>
              <w:t>Direct costs (following Regulation 2015/909)</w:t>
            </w:r>
          </w:p>
          <w:p w:rsidR="00D130AD" w:rsidRPr="000A6B0A" w:rsidRDefault="00D130AD" w:rsidP="0086605D">
            <w:pPr>
              <w:pStyle w:val="Tabellentextrechts"/>
              <w:spacing w:before="0" w:after="0"/>
              <w:jc w:val="left"/>
              <w:rPr>
                <w:rFonts w:asciiTheme="minorHAnsi" w:hAnsiTheme="minorHAnsi" w:cs="Calibri"/>
                <w:sz w:val="20"/>
                <w:lang w:val="en-GB"/>
              </w:rPr>
            </w:pPr>
          </w:p>
        </w:tc>
      </w:tr>
      <w:tr w:rsidR="00D130AD" w:rsidRPr="00C54CEB" w:rsidTr="001A3238">
        <w:trPr>
          <w:jc w:val="center"/>
        </w:trPr>
        <w:tc>
          <w:tcPr>
            <w:tcW w:w="1310" w:type="dxa"/>
            <w:vAlign w:val="center"/>
          </w:tcPr>
          <w:p w:rsidR="00D130AD" w:rsidRPr="000A6B0A" w:rsidRDefault="00622EBD">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Access charges: B component</w:t>
            </w:r>
          </w:p>
        </w:tc>
        <w:tc>
          <w:tcPr>
            <w:tcW w:w="1276" w:type="dxa"/>
            <w:vAlign w:val="center"/>
          </w:tcPr>
          <w:p w:rsidR="00D130AD" w:rsidRPr="000A6B0A" w:rsidRDefault="00613A68"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w:t>
            </w:r>
            <w:r w:rsidR="00622EBD" w:rsidRPr="000A6B0A">
              <w:rPr>
                <w:rFonts w:asciiTheme="minorHAnsi" w:hAnsiTheme="minorHAnsi" w:cs="Calibri"/>
                <w:sz w:val="20"/>
                <w:lang w:val="en-GB"/>
              </w:rPr>
              <w:t>train.km</w:t>
            </w:r>
          </w:p>
        </w:tc>
        <w:tc>
          <w:tcPr>
            <w:tcW w:w="3049" w:type="dxa"/>
            <w:vAlign w:val="center"/>
          </w:tcPr>
          <w:p w:rsidR="00622EBD" w:rsidRPr="000A6B0A"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-Market segments</w:t>
            </w:r>
          </w:p>
          <w:p w:rsidR="00D130AD" w:rsidRPr="000A6B0A" w:rsidRDefault="00D130A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 xml:space="preserve">-Track category </w:t>
            </w:r>
          </w:p>
          <w:p w:rsidR="00622EBD" w:rsidRPr="000A6B0A"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-Slot time</w:t>
            </w:r>
          </w:p>
          <w:p w:rsidR="00D130AD" w:rsidRPr="000A6B0A" w:rsidRDefault="00D130A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w:t>
            </w:r>
            <w:r w:rsidR="00622EBD" w:rsidRPr="000A6B0A">
              <w:rPr>
                <w:rFonts w:asciiTheme="minorHAnsi" w:hAnsiTheme="minorHAnsi" w:cs="Calibri"/>
                <w:sz w:val="20"/>
                <w:lang w:val="en-GB"/>
              </w:rPr>
              <w:t>market segments</w:t>
            </w:r>
          </w:p>
        </w:tc>
        <w:tc>
          <w:tcPr>
            <w:tcW w:w="2340" w:type="dxa"/>
            <w:vAlign w:val="center"/>
          </w:tcPr>
          <w:p w:rsidR="00D130AD" w:rsidRPr="000A6B0A" w:rsidRDefault="00622EBD">
            <w:pPr>
              <w:ind w:left="72"/>
              <w:rPr>
                <w:rFonts w:asciiTheme="minorHAnsi" w:hAnsiTheme="minorHAnsi"/>
                <w:sz w:val="20"/>
                <w:szCs w:val="20"/>
                <w:lang w:val="en-GB"/>
              </w:rPr>
            </w:pPr>
            <w:r w:rsidRPr="000A6B0A">
              <w:rPr>
                <w:rFonts w:asciiTheme="minorHAnsi" w:hAnsiTheme="minorHAnsi"/>
                <w:sz w:val="20"/>
                <w:szCs w:val="20"/>
                <w:lang w:val="en-GB"/>
              </w:rPr>
              <w:t>Other costs than direct ones, such as the cost of capital and depreciation</w:t>
            </w:r>
          </w:p>
          <w:p w:rsidR="00D130AD" w:rsidRPr="000A6B0A" w:rsidRDefault="00D130AD" w:rsidP="0086605D">
            <w:pPr>
              <w:pStyle w:val="Tabellentextrechts"/>
              <w:spacing w:before="0" w:after="0"/>
              <w:jc w:val="center"/>
              <w:rPr>
                <w:rFonts w:asciiTheme="minorHAnsi" w:hAnsiTheme="minorHAnsi" w:cs="Calibri"/>
                <w:sz w:val="20"/>
                <w:lang w:val="en-GB"/>
              </w:rPr>
            </w:pPr>
          </w:p>
        </w:tc>
      </w:tr>
      <w:tr w:rsidR="00622EBD" w:rsidRPr="000A6B0A" w:rsidTr="001A3238">
        <w:trPr>
          <w:jc w:val="center"/>
        </w:trPr>
        <w:tc>
          <w:tcPr>
            <w:tcW w:w="1310" w:type="dxa"/>
            <w:vAlign w:val="center"/>
          </w:tcPr>
          <w:p w:rsidR="00622EBD" w:rsidRPr="000A6B0A" w:rsidDel="00622EBD" w:rsidRDefault="00622EBD">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 xml:space="preserve">Access </w:t>
            </w:r>
            <w:r w:rsidRPr="000A6B0A">
              <w:rPr>
                <w:rFonts w:asciiTheme="minorHAnsi" w:hAnsiTheme="minorHAnsi" w:cs="Calibri"/>
                <w:b/>
                <w:sz w:val="20"/>
                <w:szCs w:val="20"/>
                <w:lang w:val="en-GB" w:eastAsia="de-CH"/>
              </w:rPr>
              <w:lastRenderedPageBreak/>
              <w:t>charges: C component</w:t>
            </w:r>
          </w:p>
        </w:tc>
        <w:tc>
          <w:tcPr>
            <w:tcW w:w="1276" w:type="dxa"/>
            <w:vAlign w:val="center"/>
          </w:tcPr>
          <w:p w:rsidR="00622EBD" w:rsidRPr="000A6B0A" w:rsidRDefault="00622EBD"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lastRenderedPageBreak/>
              <w:t>€/train.km</w:t>
            </w:r>
          </w:p>
          <w:p w:rsidR="00622EBD" w:rsidRPr="000A6B0A" w:rsidRDefault="00622EBD" w:rsidP="0086605D">
            <w:pPr>
              <w:pStyle w:val="Tabellentextrechts"/>
              <w:spacing w:before="0" w:after="0"/>
              <w:jc w:val="center"/>
              <w:rPr>
                <w:rFonts w:asciiTheme="minorHAnsi" w:hAnsiTheme="minorHAnsi" w:cs="Calibri"/>
                <w:sz w:val="20"/>
                <w:lang w:val="en-GB"/>
              </w:rPr>
            </w:pPr>
          </w:p>
        </w:tc>
        <w:tc>
          <w:tcPr>
            <w:tcW w:w="3049" w:type="dxa"/>
            <w:vAlign w:val="center"/>
          </w:tcPr>
          <w:p w:rsidR="00622EBD" w:rsidRPr="000A6B0A"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lastRenderedPageBreak/>
              <w:t>-Scarcity</w:t>
            </w:r>
          </w:p>
          <w:p w:rsidR="00622EBD" w:rsidRPr="000A6B0A"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lastRenderedPageBreak/>
              <w:t>-Environmental effects</w:t>
            </w:r>
          </w:p>
          <w:p w:rsidR="00622EBD" w:rsidRPr="000A6B0A"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-ETCS</w:t>
            </w:r>
          </w:p>
          <w:p w:rsidR="00622EBD" w:rsidRPr="000A6B0A" w:rsidDel="00622EBD" w:rsidRDefault="00622EBD"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z w:val="20"/>
                <w:lang w:val="en-GB"/>
              </w:rPr>
              <w:t>-Regional compensation regimes</w:t>
            </w:r>
          </w:p>
        </w:tc>
        <w:tc>
          <w:tcPr>
            <w:tcW w:w="2340" w:type="dxa"/>
            <w:vAlign w:val="center"/>
          </w:tcPr>
          <w:p w:rsidR="00622EBD" w:rsidRPr="000A6B0A" w:rsidDel="00622EBD" w:rsidRDefault="00622EBD">
            <w:pPr>
              <w:ind w:left="72"/>
              <w:rPr>
                <w:rFonts w:asciiTheme="minorHAnsi" w:hAnsiTheme="minorHAnsi"/>
                <w:sz w:val="20"/>
                <w:szCs w:val="20"/>
                <w:lang w:val="en-GB"/>
              </w:rPr>
            </w:pPr>
            <w:r w:rsidRPr="000A6B0A">
              <w:rPr>
                <w:rFonts w:asciiTheme="minorHAnsi" w:hAnsiTheme="minorHAnsi"/>
                <w:sz w:val="20"/>
                <w:szCs w:val="20"/>
                <w:lang w:val="en-GB"/>
              </w:rPr>
              <w:lastRenderedPageBreak/>
              <w:t xml:space="preserve">Cost based </w:t>
            </w:r>
          </w:p>
        </w:tc>
      </w:tr>
    </w:tbl>
    <w:p w:rsidR="00C15D0C" w:rsidRDefault="00C15D0C" w:rsidP="00D130AD">
      <w:pPr>
        <w:rPr>
          <w:lang w:val="en-GB"/>
        </w:rPr>
      </w:pPr>
    </w:p>
    <w:p w:rsidR="00D130AD" w:rsidRPr="000A6B0A" w:rsidRDefault="00C15D0C" w:rsidP="00D130AD">
      <w:pPr>
        <w:rPr>
          <w:lang w:val="en-GB"/>
        </w:rPr>
      </w:pPr>
      <w:r>
        <w:rPr>
          <w:lang w:val="en-GB"/>
        </w:rPr>
        <w:br w:type="page"/>
      </w:r>
    </w:p>
    <w:p w:rsidR="00D130AD" w:rsidRPr="000A6B0A" w:rsidRDefault="00D130AD" w:rsidP="00E561FB">
      <w:pPr>
        <w:pStyle w:val="Titre1"/>
        <w:numPr>
          <w:ilvl w:val="1"/>
          <w:numId w:val="13"/>
        </w:numPr>
        <w:spacing w:line="276" w:lineRule="auto"/>
        <w:jc w:val="both"/>
        <w:rPr>
          <w:rFonts w:asciiTheme="minorHAnsi" w:hAnsiTheme="minorHAnsi"/>
          <w:sz w:val="22"/>
          <w:szCs w:val="22"/>
          <w:lang w:val="en-GB"/>
        </w:rPr>
      </w:pPr>
      <w:bookmarkStart w:id="66" w:name="_Toc424731688"/>
      <w:bookmarkStart w:id="67" w:name="_Toc461625134"/>
      <w:bookmarkStart w:id="68" w:name="_Toc461625236"/>
      <w:bookmarkStart w:id="69" w:name="_Toc496279030"/>
      <w:r w:rsidRPr="000A6B0A">
        <w:rPr>
          <w:rFonts w:asciiTheme="minorHAnsi" w:hAnsiTheme="minorHAnsi"/>
          <w:sz w:val="22"/>
          <w:szCs w:val="22"/>
          <w:lang w:val="en-GB"/>
        </w:rPr>
        <w:lastRenderedPageBreak/>
        <w:t>Latvia</w:t>
      </w:r>
      <w:bookmarkEnd w:id="66"/>
      <w:bookmarkEnd w:id="67"/>
      <w:bookmarkEnd w:id="68"/>
      <w:bookmarkEnd w:id="69"/>
    </w:p>
    <w:p w:rsidR="00D130AD" w:rsidRPr="000A6B0A" w:rsidRDefault="00D130AD" w:rsidP="00D130AD">
      <w:pPr>
        <w:rPr>
          <w:rFonts w:asciiTheme="minorHAnsi" w:hAnsiTheme="minorHAnsi"/>
          <w:sz w:val="22"/>
          <w:szCs w:val="22"/>
          <w:lang w:val="en-GB"/>
        </w:rPr>
      </w:pPr>
    </w:p>
    <w:p w:rsidR="00D130AD" w:rsidRPr="000A6B0A" w:rsidRDefault="00D130AD"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main principles of the access charges are developed hereafter</w:t>
      </w:r>
      <w:r w:rsidR="00FA6A0A" w:rsidRPr="000A6B0A">
        <w:rPr>
          <w:rStyle w:val="Appelnotedebasdep"/>
          <w:rFonts w:asciiTheme="minorHAnsi" w:hAnsiTheme="minorHAnsi"/>
          <w:sz w:val="22"/>
          <w:szCs w:val="22"/>
          <w:lang w:val="en-GB"/>
        </w:rPr>
        <w:footnoteReference w:id="89"/>
      </w:r>
      <w:r w:rsidRPr="000A6B0A">
        <w:rPr>
          <w:rFonts w:asciiTheme="minorHAnsi" w:hAnsiTheme="minorHAnsi"/>
          <w:sz w:val="22"/>
          <w:szCs w:val="22"/>
          <w:lang w:val="en-GB"/>
        </w:rPr>
        <w:t>:</w:t>
      </w:r>
    </w:p>
    <w:p w:rsidR="00D130AD" w:rsidRPr="000A6B0A" w:rsidRDefault="00D130AD" w:rsidP="0086605D">
      <w:pPr>
        <w:spacing w:line="276" w:lineRule="auto"/>
        <w:jc w:val="both"/>
        <w:rPr>
          <w:rFonts w:asciiTheme="minorHAnsi" w:hAnsiTheme="minorHAnsi"/>
          <w:sz w:val="22"/>
          <w:szCs w:val="22"/>
          <w:lang w:val="en-GB"/>
        </w:rPr>
      </w:pPr>
    </w:p>
    <w:p w:rsidR="00D130AD" w:rsidRPr="000A6B0A" w:rsidRDefault="00D130AD"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full cost of infrastructure should be covered by accumulated charges and state budget funding if it is available</w:t>
      </w:r>
      <w:r w:rsidR="00A17B87" w:rsidRPr="000A6B0A">
        <w:rPr>
          <w:rFonts w:asciiTheme="minorHAnsi" w:hAnsiTheme="minorHAnsi"/>
          <w:sz w:val="22"/>
          <w:szCs w:val="22"/>
          <w:lang w:val="en-GB"/>
        </w:rPr>
        <w:t>;</w:t>
      </w:r>
    </w:p>
    <w:p w:rsidR="00D130AD" w:rsidRPr="000A6B0A" w:rsidRDefault="00D130AD"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all expenses are traced to particular train category</w:t>
      </w:r>
      <w:r w:rsidR="00A17B87" w:rsidRPr="000A6B0A">
        <w:rPr>
          <w:rFonts w:asciiTheme="minorHAnsi" w:hAnsiTheme="minorHAnsi"/>
          <w:sz w:val="22"/>
          <w:szCs w:val="22"/>
          <w:lang w:val="en-GB"/>
        </w:rPr>
        <w:t>;</w:t>
      </w:r>
    </w:p>
    <w:p w:rsidR="00D130AD" w:rsidRPr="000A6B0A" w:rsidRDefault="00D130AD" w:rsidP="0086605D">
      <w:pPr>
        <w:numPr>
          <w:ilvl w:val="0"/>
          <w:numId w:val="10"/>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Train-kilomet</w:t>
      </w:r>
      <w:r w:rsidR="00A56CA1">
        <w:rPr>
          <w:rFonts w:asciiTheme="minorHAnsi" w:hAnsiTheme="minorHAnsi"/>
          <w:sz w:val="22"/>
          <w:szCs w:val="22"/>
          <w:lang w:val="en-GB"/>
        </w:rPr>
        <w:t>r</w:t>
      </w:r>
      <w:r w:rsidRPr="000A6B0A">
        <w:rPr>
          <w:rFonts w:asciiTheme="minorHAnsi" w:hAnsiTheme="minorHAnsi"/>
          <w:sz w:val="22"/>
          <w:szCs w:val="22"/>
          <w:lang w:val="en-GB"/>
        </w:rPr>
        <w:t>es and gross ton</w:t>
      </w:r>
      <w:r w:rsidR="00A56CA1">
        <w:rPr>
          <w:rFonts w:asciiTheme="minorHAnsi" w:hAnsiTheme="minorHAnsi"/>
          <w:sz w:val="22"/>
          <w:szCs w:val="22"/>
          <w:lang w:val="en-GB"/>
        </w:rPr>
        <w:t>ne</w:t>
      </w:r>
      <w:r w:rsidRPr="000A6B0A">
        <w:rPr>
          <w:rFonts w:asciiTheme="minorHAnsi" w:hAnsiTheme="minorHAnsi"/>
          <w:sz w:val="22"/>
          <w:szCs w:val="22"/>
          <w:lang w:val="en-GB"/>
        </w:rPr>
        <w:t>-kilomet</w:t>
      </w:r>
      <w:r w:rsidR="00A56CA1">
        <w:rPr>
          <w:rFonts w:asciiTheme="minorHAnsi" w:hAnsiTheme="minorHAnsi"/>
          <w:sz w:val="22"/>
          <w:szCs w:val="22"/>
          <w:lang w:val="en-GB"/>
        </w:rPr>
        <w:t>r</w:t>
      </w:r>
      <w:r w:rsidRPr="000A6B0A">
        <w:rPr>
          <w:rFonts w:asciiTheme="minorHAnsi" w:hAnsiTheme="minorHAnsi"/>
          <w:sz w:val="22"/>
          <w:szCs w:val="22"/>
          <w:lang w:val="en-GB"/>
        </w:rPr>
        <w:t>es are used as cost drivers</w:t>
      </w:r>
      <w:r w:rsidR="00A17B87" w:rsidRPr="000A6B0A">
        <w:rPr>
          <w:rFonts w:asciiTheme="minorHAnsi" w:hAnsiTheme="minorHAnsi"/>
          <w:sz w:val="22"/>
          <w:szCs w:val="22"/>
          <w:lang w:val="en-GB"/>
        </w:rPr>
        <w:t>.</w:t>
      </w:r>
    </w:p>
    <w:p w:rsidR="00D130AD" w:rsidRPr="000A6B0A" w:rsidRDefault="00D130AD" w:rsidP="00D130AD">
      <w:pPr>
        <w:jc w:val="both"/>
        <w:rPr>
          <w:rFonts w:asciiTheme="minorHAnsi" w:hAnsiTheme="minorHAnsi" w:cs="Calibri"/>
          <w:sz w:val="24"/>
          <w:szCs w:val="24"/>
          <w:lang w:val="en-GB"/>
        </w:rPr>
      </w:pPr>
    </w:p>
    <w:p w:rsidR="00D130AD" w:rsidRPr="000A6B0A" w:rsidRDefault="00D130AD" w:rsidP="00D130AD">
      <w:pPr>
        <w:rPr>
          <w:rFonts w:asciiTheme="minorHAnsi" w:hAnsiTheme="minorHAnsi" w:cs="Calibri"/>
          <w:b/>
          <w:smallCaps/>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430"/>
        <w:gridCol w:w="2956"/>
        <w:gridCol w:w="2418"/>
      </w:tblGrid>
      <w:tr w:rsidR="00D130AD" w:rsidRPr="000A6B0A" w:rsidTr="001A3238">
        <w:trPr>
          <w:jc w:val="center"/>
        </w:trPr>
        <w:tc>
          <w:tcPr>
            <w:tcW w:w="1425" w:type="dxa"/>
            <w:shd w:val="pct50" w:color="auto" w:fill="auto"/>
          </w:tcPr>
          <w:p w:rsidR="00D130AD" w:rsidRPr="009C767D" w:rsidRDefault="00D130AD" w:rsidP="0086605D">
            <w:pPr>
              <w:pStyle w:val="Tabellenkopf"/>
              <w:spacing w:before="0" w:after="0"/>
              <w:jc w:val="center"/>
              <w:rPr>
                <w:rFonts w:asciiTheme="minorHAnsi" w:hAnsiTheme="minorHAnsi" w:cs="Calibri"/>
                <w:b/>
                <w:color w:val="FFFFFF" w:themeColor="background1"/>
                <w:sz w:val="20"/>
                <w:lang w:val="en-GB"/>
              </w:rPr>
            </w:pPr>
            <w:r w:rsidRPr="009C767D">
              <w:rPr>
                <w:rFonts w:asciiTheme="minorHAnsi" w:hAnsiTheme="minorHAnsi" w:cs="Calibri"/>
                <w:b/>
                <w:color w:val="FFFFFF" w:themeColor="background1"/>
                <w:sz w:val="20"/>
                <w:lang w:val="en-GB"/>
              </w:rPr>
              <w:t>Charge</w:t>
            </w:r>
          </w:p>
        </w:tc>
        <w:tc>
          <w:tcPr>
            <w:tcW w:w="1430" w:type="dxa"/>
            <w:shd w:val="pct50" w:color="auto" w:fill="auto"/>
          </w:tcPr>
          <w:p w:rsidR="00D130AD" w:rsidRPr="009C767D" w:rsidRDefault="00D130AD" w:rsidP="0086605D">
            <w:pPr>
              <w:pStyle w:val="Tabellenkopf"/>
              <w:spacing w:before="0" w:after="0"/>
              <w:jc w:val="center"/>
              <w:rPr>
                <w:rFonts w:asciiTheme="minorHAnsi" w:hAnsiTheme="minorHAnsi" w:cs="Calibri"/>
                <w:b/>
                <w:color w:val="FFFFFF" w:themeColor="background1"/>
                <w:sz w:val="20"/>
                <w:lang w:val="en-GB"/>
              </w:rPr>
            </w:pPr>
            <w:r w:rsidRPr="009C767D">
              <w:rPr>
                <w:rFonts w:asciiTheme="minorHAnsi" w:hAnsiTheme="minorHAnsi" w:cs="Calibri"/>
                <w:b/>
                <w:color w:val="FFFFFF" w:themeColor="background1"/>
                <w:sz w:val="20"/>
                <w:lang w:val="en-GB"/>
              </w:rPr>
              <w:t>Unit</w:t>
            </w:r>
          </w:p>
        </w:tc>
        <w:tc>
          <w:tcPr>
            <w:tcW w:w="2956" w:type="dxa"/>
            <w:shd w:val="pct50" w:color="auto" w:fill="auto"/>
          </w:tcPr>
          <w:p w:rsidR="00D130AD" w:rsidRPr="009C767D" w:rsidRDefault="00D130AD" w:rsidP="0086605D">
            <w:pPr>
              <w:pStyle w:val="Tabellenkopf"/>
              <w:spacing w:before="0" w:after="0"/>
              <w:jc w:val="center"/>
              <w:rPr>
                <w:rFonts w:asciiTheme="minorHAnsi" w:hAnsiTheme="minorHAnsi" w:cs="Calibri"/>
                <w:b/>
                <w:color w:val="FFFFFF" w:themeColor="background1"/>
                <w:sz w:val="20"/>
                <w:lang w:val="en-GB"/>
              </w:rPr>
            </w:pPr>
            <w:r w:rsidRPr="009C767D">
              <w:rPr>
                <w:rFonts w:asciiTheme="minorHAnsi" w:hAnsiTheme="minorHAnsi" w:cs="Calibri"/>
                <w:b/>
                <w:color w:val="FFFFFF" w:themeColor="background1"/>
                <w:sz w:val="20"/>
                <w:lang w:val="en-GB"/>
              </w:rPr>
              <w:t>Market segmentation</w:t>
            </w:r>
          </w:p>
        </w:tc>
        <w:tc>
          <w:tcPr>
            <w:tcW w:w="2418" w:type="dxa"/>
            <w:shd w:val="pct50" w:color="auto" w:fill="auto"/>
          </w:tcPr>
          <w:p w:rsidR="00D130AD" w:rsidRPr="009C767D" w:rsidRDefault="00D130AD" w:rsidP="0086605D">
            <w:pPr>
              <w:pStyle w:val="Tabellenkopf"/>
              <w:spacing w:before="0" w:after="0"/>
              <w:jc w:val="center"/>
              <w:rPr>
                <w:rFonts w:asciiTheme="minorHAnsi" w:hAnsiTheme="minorHAnsi" w:cs="Calibri"/>
                <w:b/>
                <w:color w:val="FFFFFF" w:themeColor="background1"/>
                <w:sz w:val="20"/>
                <w:lang w:val="en-GB"/>
              </w:rPr>
            </w:pPr>
            <w:r w:rsidRPr="009C767D">
              <w:rPr>
                <w:rFonts w:asciiTheme="minorHAnsi" w:hAnsiTheme="minorHAnsi" w:cs="Calibri"/>
                <w:b/>
                <w:color w:val="FFFFFF" w:themeColor="background1"/>
                <w:sz w:val="20"/>
                <w:lang w:val="en-GB"/>
              </w:rPr>
              <w:t>Cost covered</w:t>
            </w:r>
          </w:p>
        </w:tc>
      </w:tr>
      <w:tr w:rsidR="00D130AD" w:rsidRPr="00C54CEB" w:rsidTr="00A17B87">
        <w:trPr>
          <w:jc w:val="center"/>
        </w:trPr>
        <w:tc>
          <w:tcPr>
            <w:tcW w:w="1425" w:type="dxa"/>
            <w:vAlign w:val="center"/>
          </w:tcPr>
          <w:p w:rsidR="00D130AD" w:rsidRPr="000A6B0A" w:rsidRDefault="00D130AD" w:rsidP="0086605D">
            <w:pPr>
              <w:pStyle w:val="Tabellenkopf"/>
              <w:spacing w:before="0" w:after="0"/>
              <w:rPr>
                <w:rFonts w:asciiTheme="minorHAnsi" w:hAnsiTheme="minorHAnsi" w:cs="Calibri"/>
                <w:b/>
                <w:sz w:val="20"/>
                <w:lang w:val="en-GB"/>
              </w:rPr>
            </w:pPr>
            <w:r w:rsidRPr="000A6B0A">
              <w:rPr>
                <w:rFonts w:asciiTheme="minorHAnsi" w:hAnsiTheme="minorHAnsi" w:cs="Calibri"/>
                <w:b/>
                <w:sz w:val="20"/>
                <w:lang w:val="en-GB"/>
              </w:rPr>
              <w:t>Operating</w:t>
            </w:r>
          </w:p>
          <w:p w:rsidR="00D130AD" w:rsidRPr="000A6B0A" w:rsidRDefault="00D130AD">
            <w:pPr>
              <w:rPr>
                <w:rFonts w:asciiTheme="minorHAnsi" w:hAnsiTheme="minorHAnsi" w:cs="Calibri"/>
                <w:b/>
                <w:lang w:val="en-GB" w:eastAsia="de-CH"/>
              </w:rPr>
            </w:pPr>
            <w:r w:rsidRPr="000A6B0A">
              <w:rPr>
                <w:rFonts w:asciiTheme="minorHAnsi" w:hAnsiTheme="minorHAnsi" w:cs="Calibri"/>
                <w:b/>
                <w:lang w:val="en-GB" w:eastAsia="de-CH"/>
              </w:rPr>
              <w:t xml:space="preserve"> </w:t>
            </w:r>
          </w:p>
        </w:tc>
        <w:tc>
          <w:tcPr>
            <w:tcW w:w="1430" w:type="dxa"/>
            <w:vAlign w:val="center"/>
          </w:tcPr>
          <w:p w:rsidR="00D130AD" w:rsidRPr="000A6B0A" w:rsidRDefault="00A17B87" w:rsidP="0086605D">
            <w:pPr>
              <w:pStyle w:val="Tabellentextrechts"/>
              <w:spacing w:before="0" w:after="0"/>
              <w:jc w:val="left"/>
              <w:rPr>
                <w:rFonts w:asciiTheme="minorHAnsi" w:hAnsiTheme="minorHAnsi" w:cs="Calibri"/>
                <w:sz w:val="20"/>
                <w:lang w:val="en-GB"/>
              </w:rPr>
            </w:pPr>
            <w:r w:rsidRPr="000A6B0A">
              <w:rPr>
                <w:rFonts w:asciiTheme="minorHAnsi" w:hAnsiTheme="minorHAnsi" w:cs="Calibri"/>
                <w:spacing w:val="-2"/>
                <w:sz w:val="20"/>
                <w:lang w:val="en-GB"/>
              </w:rPr>
              <w:t>Train.km</w:t>
            </w:r>
          </w:p>
        </w:tc>
        <w:tc>
          <w:tcPr>
            <w:tcW w:w="2956" w:type="dxa"/>
            <w:vAlign w:val="center"/>
          </w:tcPr>
          <w:p w:rsidR="00D130AD" w:rsidRPr="000A6B0A" w:rsidRDefault="00D130AD">
            <w:pPr>
              <w:rPr>
                <w:rFonts w:asciiTheme="minorHAnsi" w:hAnsiTheme="minorHAnsi" w:cs="Calibri"/>
                <w:spacing w:val="-2"/>
                <w:sz w:val="20"/>
                <w:szCs w:val="20"/>
                <w:lang w:val="en-GB"/>
              </w:rPr>
            </w:pPr>
            <w:r w:rsidRPr="000A6B0A">
              <w:rPr>
                <w:rFonts w:asciiTheme="minorHAnsi" w:hAnsiTheme="minorHAnsi" w:cs="Calibri"/>
                <w:spacing w:val="-2"/>
                <w:sz w:val="20"/>
                <w:szCs w:val="20"/>
                <w:lang w:val="en-GB"/>
              </w:rPr>
              <w:t>Differentiation among:</w:t>
            </w:r>
          </w:p>
          <w:p w:rsidR="00D130AD" w:rsidRPr="000A6B0A" w:rsidRDefault="00D130AD">
            <w:pPr>
              <w:numPr>
                <w:ilvl w:val="0"/>
                <w:numId w:val="6"/>
              </w:numPr>
              <w:rPr>
                <w:rFonts w:asciiTheme="minorHAnsi" w:hAnsiTheme="minorHAnsi" w:cs="Calibri"/>
                <w:sz w:val="20"/>
                <w:szCs w:val="20"/>
                <w:lang w:val="en-GB"/>
              </w:rPr>
            </w:pPr>
            <w:r w:rsidRPr="000A6B0A">
              <w:rPr>
                <w:rFonts w:asciiTheme="minorHAnsi" w:hAnsiTheme="minorHAnsi" w:cs="Calibri"/>
                <w:sz w:val="20"/>
                <w:szCs w:val="20"/>
                <w:lang w:val="en-GB"/>
              </w:rPr>
              <w:t>Freight trains</w:t>
            </w:r>
            <w:r w:rsidR="00A17B87" w:rsidRPr="000A6B0A">
              <w:rPr>
                <w:rFonts w:asciiTheme="minorHAnsi" w:hAnsiTheme="minorHAnsi" w:cs="Calibri"/>
                <w:sz w:val="20"/>
                <w:szCs w:val="20"/>
                <w:lang w:val="en-GB"/>
              </w:rPr>
              <w:t>;</w:t>
            </w:r>
          </w:p>
          <w:p w:rsidR="00D130AD" w:rsidRPr="000A6B0A" w:rsidRDefault="00D130AD">
            <w:pPr>
              <w:numPr>
                <w:ilvl w:val="0"/>
                <w:numId w:val="6"/>
              </w:numPr>
              <w:rPr>
                <w:rFonts w:asciiTheme="minorHAnsi" w:hAnsiTheme="minorHAnsi" w:cs="Calibri"/>
                <w:sz w:val="20"/>
                <w:szCs w:val="20"/>
                <w:lang w:val="en-GB"/>
              </w:rPr>
            </w:pPr>
            <w:r w:rsidRPr="000A6B0A">
              <w:rPr>
                <w:rFonts w:asciiTheme="minorHAnsi" w:hAnsiTheme="minorHAnsi" w:cs="Calibri"/>
                <w:sz w:val="20"/>
                <w:szCs w:val="20"/>
                <w:lang w:val="en-GB"/>
              </w:rPr>
              <w:t>Passenger trains (electric)</w:t>
            </w:r>
            <w:r w:rsidR="00A17B87" w:rsidRPr="000A6B0A">
              <w:rPr>
                <w:rFonts w:asciiTheme="minorHAnsi" w:hAnsiTheme="minorHAnsi" w:cs="Calibri"/>
                <w:sz w:val="20"/>
                <w:szCs w:val="20"/>
                <w:lang w:val="en-GB"/>
              </w:rPr>
              <w:t>;</w:t>
            </w:r>
          </w:p>
          <w:p w:rsidR="00D130AD" w:rsidRPr="000A6B0A" w:rsidRDefault="00D130AD">
            <w:pPr>
              <w:numPr>
                <w:ilvl w:val="0"/>
                <w:numId w:val="6"/>
              </w:numPr>
              <w:rPr>
                <w:rFonts w:asciiTheme="minorHAnsi" w:hAnsiTheme="minorHAnsi" w:cs="Calibri"/>
                <w:sz w:val="20"/>
                <w:szCs w:val="20"/>
                <w:lang w:val="en-GB"/>
              </w:rPr>
            </w:pPr>
            <w:r w:rsidRPr="000A6B0A">
              <w:rPr>
                <w:rFonts w:asciiTheme="minorHAnsi" w:hAnsiTheme="minorHAnsi" w:cs="Calibri"/>
                <w:sz w:val="20"/>
                <w:szCs w:val="20"/>
                <w:lang w:val="en-GB"/>
              </w:rPr>
              <w:t>Passenger trains (diesel)</w:t>
            </w:r>
            <w:r w:rsidR="00A17B87" w:rsidRPr="000A6B0A">
              <w:rPr>
                <w:rFonts w:asciiTheme="minorHAnsi" w:hAnsiTheme="minorHAnsi" w:cs="Calibri"/>
                <w:sz w:val="20"/>
                <w:szCs w:val="20"/>
                <w:lang w:val="en-GB"/>
              </w:rPr>
              <w:t>;</w:t>
            </w:r>
          </w:p>
          <w:p w:rsidR="00D130AD" w:rsidRPr="000A6B0A" w:rsidRDefault="00D130AD">
            <w:pPr>
              <w:numPr>
                <w:ilvl w:val="0"/>
                <w:numId w:val="6"/>
              </w:numPr>
              <w:rPr>
                <w:rFonts w:asciiTheme="minorHAnsi" w:hAnsiTheme="minorHAnsi" w:cs="Calibri"/>
                <w:sz w:val="20"/>
                <w:szCs w:val="20"/>
                <w:lang w:val="en-GB"/>
              </w:rPr>
            </w:pPr>
            <w:r w:rsidRPr="000A6B0A">
              <w:rPr>
                <w:rFonts w:asciiTheme="minorHAnsi" w:hAnsiTheme="minorHAnsi" w:cs="Calibri"/>
                <w:sz w:val="20"/>
                <w:szCs w:val="20"/>
                <w:lang w:val="en-GB"/>
              </w:rPr>
              <w:t>Passenger trains with locomotive</w:t>
            </w:r>
            <w:r w:rsidR="00A17B87" w:rsidRPr="000A6B0A">
              <w:rPr>
                <w:rFonts w:asciiTheme="minorHAnsi" w:hAnsiTheme="minorHAnsi" w:cs="Calibri"/>
                <w:sz w:val="20"/>
                <w:szCs w:val="20"/>
                <w:lang w:val="en-GB"/>
              </w:rPr>
              <w:t>;</w:t>
            </w:r>
          </w:p>
          <w:p w:rsidR="00D130AD" w:rsidRPr="000A6B0A" w:rsidRDefault="00D130AD">
            <w:pPr>
              <w:numPr>
                <w:ilvl w:val="0"/>
                <w:numId w:val="6"/>
              </w:numPr>
              <w:rPr>
                <w:rFonts w:asciiTheme="minorHAnsi" w:hAnsiTheme="minorHAnsi" w:cs="Calibri"/>
                <w:sz w:val="20"/>
                <w:szCs w:val="20"/>
                <w:lang w:val="en-GB"/>
              </w:rPr>
            </w:pPr>
            <w:r w:rsidRPr="000A6B0A">
              <w:rPr>
                <w:rFonts w:asciiTheme="minorHAnsi" w:hAnsiTheme="minorHAnsi" w:cs="Calibri"/>
                <w:sz w:val="20"/>
                <w:szCs w:val="20"/>
                <w:lang w:val="en-GB"/>
              </w:rPr>
              <w:t>Narrow-gauge trains</w:t>
            </w:r>
            <w:r w:rsidR="00A17B87" w:rsidRPr="000A6B0A">
              <w:rPr>
                <w:rFonts w:asciiTheme="minorHAnsi" w:hAnsiTheme="minorHAnsi" w:cs="Calibri"/>
                <w:sz w:val="20"/>
                <w:szCs w:val="20"/>
                <w:lang w:val="en-GB"/>
              </w:rPr>
              <w:t>.</w:t>
            </w:r>
          </w:p>
          <w:p w:rsidR="00D130AD" w:rsidRPr="000A6B0A" w:rsidRDefault="00D130AD">
            <w:pPr>
              <w:rPr>
                <w:rFonts w:asciiTheme="minorHAnsi" w:hAnsiTheme="minorHAnsi" w:cs="Calibri"/>
                <w:lang w:val="en-GB"/>
              </w:rPr>
            </w:pPr>
          </w:p>
          <w:p w:rsidR="00D130AD" w:rsidRPr="000A6B0A" w:rsidRDefault="00D130AD" w:rsidP="0086605D">
            <w:pPr>
              <w:pStyle w:val="Tabellentextrechts"/>
              <w:spacing w:before="0" w:after="0"/>
              <w:jc w:val="left"/>
              <w:rPr>
                <w:rFonts w:asciiTheme="minorHAnsi" w:hAnsiTheme="minorHAnsi" w:cs="Calibri"/>
                <w:spacing w:val="-2"/>
                <w:sz w:val="20"/>
                <w:lang w:val="en-GB"/>
              </w:rPr>
            </w:pPr>
          </w:p>
          <w:p w:rsidR="00D130AD" w:rsidRPr="000A6B0A" w:rsidRDefault="00D130AD" w:rsidP="0086605D">
            <w:pPr>
              <w:pStyle w:val="Tabellentextrechts"/>
              <w:spacing w:before="0" w:after="0"/>
              <w:ind w:left="720"/>
              <w:jc w:val="left"/>
              <w:rPr>
                <w:rFonts w:asciiTheme="minorHAnsi" w:hAnsiTheme="minorHAnsi" w:cs="Calibri"/>
                <w:sz w:val="20"/>
                <w:lang w:val="en-GB"/>
              </w:rPr>
            </w:pPr>
          </w:p>
        </w:tc>
        <w:tc>
          <w:tcPr>
            <w:tcW w:w="2418" w:type="dxa"/>
            <w:vAlign w:val="center"/>
          </w:tcPr>
          <w:p w:rsidR="00D130AD" w:rsidRPr="000A6B0A" w:rsidRDefault="00A17B87">
            <w:pPr>
              <w:pStyle w:val="Paragraphedeliste1"/>
              <w:spacing w:after="0" w:line="240" w:lineRule="auto"/>
              <w:ind w:left="54"/>
              <w:rPr>
                <w:rFonts w:asciiTheme="minorHAnsi" w:hAnsiTheme="minorHAnsi" w:cs="Calibri"/>
                <w:sz w:val="20"/>
                <w:szCs w:val="20"/>
                <w:lang w:val="en-GB"/>
              </w:rPr>
            </w:pPr>
            <w:r w:rsidRPr="000A6B0A">
              <w:rPr>
                <w:rFonts w:asciiTheme="minorHAnsi" w:hAnsiTheme="minorHAnsi" w:cs="Calibri"/>
                <w:sz w:val="20"/>
                <w:szCs w:val="20"/>
                <w:lang w:val="en-GB"/>
              </w:rPr>
              <w:t xml:space="preserve">1/ </w:t>
            </w:r>
            <w:r w:rsidR="00D130AD" w:rsidRPr="000A6B0A">
              <w:rPr>
                <w:rFonts w:asciiTheme="minorHAnsi" w:hAnsiTheme="minorHAnsi" w:cs="Calibri"/>
                <w:sz w:val="20"/>
                <w:szCs w:val="20"/>
                <w:lang w:val="en-GB"/>
              </w:rPr>
              <w:t>Costs of maintenance of railway infrastructure objects made by IM;</w:t>
            </w:r>
          </w:p>
          <w:p w:rsidR="00D130AD" w:rsidRPr="000A6B0A" w:rsidRDefault="00A17B87">
            <w:pPr>
              <w:pStyle w:val="Paragraphedeliste1"/>
              <w:spacing w:after="0" w:line="240" w:lineRule="auto"/>
              <w:ind w:left="0"/>
              <w:rPr>
                <w:rFonts w:asciiTheme="minorHAnsi" w:hAnsiTheme="minorHAnsi" w:cs="Calibri"/>
                <w:sz w:val="20"/>
                <w:szCs w:val="20"/>
                <w:lang w:val="en-GB"/>
              </w:rPr>
            </w:pPr>
            <w:r w:rsidRPr="000A6B0A">
              <w:rPr>
                <w:rFonts w:asciiTheme="minorHAnsi" w:hAnsiTheme="minorHAnsi" w:cs="Calibri"/>
                <w:sz w:val="20"/>
                <w:szCs w:val="20"/>
                <w:lang w:val="en-GB"/>
              </w:rPr>
              <w:t xml:space="preserve">2/ </w:t>
            </w:r>
            <w:r w:rsidR="00D130AD" w:rsidRPr="000A6B0A">
              <w:rPr>
                <w:rFonts w:asciiTheme="minorHAnsi" w:hAnsiTheme="minorHAnsi" w:cs="Calibri"/>
                <w:sz w:val="20"/>
                <w:szCs w:val="20"/>
                <w:lang w:val="en-GB"/>
              </w:rPr>
              <w:t xml:space="preserve">Costs of railway infrastructure objects development (renewals, reconstruction, building) consists of capital depreciations costs (excluding capital depreciations costs of government, EU </w:t>
            </w:r>
            <w:r w:rsidRPr="000A6B0A">
              <w:rPr>
                <w:rFonts w:asciiTheme="minorHAnsi" w:hAnsiTheme="minorHAnsi" w:cs="Calibri"/>
                <w:sz w:val="20"/>
                <w:szCs w:val="20"/>
                <w:lang w:val="en-GB"/>
              </w:rPr>
              <w:t>funds) and premium costs;</w:t>
            </w:r>
          </w:p>
          <w:p w:rsidR="00D130AD" w:rsidRPr="000A6B0A" w:rsidRDefault="00A17B87">
            <w:pPr>
              <w:pStyle w:val="Paragraphedeliste1"/>
              <w:spacing w:after="0" w:line="240" w:lineRule="auto"/>
              <w:ind w:left="0"/>
              <w:rPr>
                <w:rFonts w:asciiTheme="minorHAnsi" w:hAnsiTheme="minorHAnsi" w:cs="Calibri"/>
                <w:lang w:val="en-GB"/>
              </w:rPr>
            </w:pPr>
            <w:r w:rsidRPr="000A6B0A">
              <w:rPr>
                <w:rFonts w:asciiTheme="minorHAnsi" w:hAnsiTheme="minorHAnsi" w:cs="Calibri"/>
                <w:sz w:val="20"/>
                <w:szCs w:val="20"/>
                <w:lang w:val="en-GB"/>
              </w:rPr>
              <w:t xml:space="preserve">3/ </w:t>
            </w:r>
            <w:r w:rsidR="00D130AD" w:rsidRPr="000A6B0A">
              <w:rPr>
                <w:rFonts w:asciiTheme="minorHAnsi" w:hAnsiTheme="minorHAnsi" w:cs="Calibri"/>
                <w:sz w:val="20"/>
                <w:szCs w:val="20"/>
                <w:lang w:val="en-GB"/>
              </w:rPr>
              <w:t>Duties and taxes paid by IM</w:t>
            </w:r>
          </w:p>
        </w:tc>
      </w:tr>
    </w:tbl>
    <w:p w:rsidR="00D130AD" w:rsidRPr="000A6B0A" w:rsidRDefault="00D130AD" w:rsidP="00D130AD">
      <w:pPr>
        <w:rPr>
          <w:rFonts w:asciiTheme="minorHAnsi" w:hAnsiTheme="minorHAnsi" w:cs="Calibri"/>
          <w:lang w:val="en-GB"/>
        </w:rPr>
      </w:pPr>
      <w:r w:rsidRPr="000A6B0A">
        <w:rPr>
          <w:rFonts w:asciiTheme="minorHAnsi" w:hAnsiTheme="minorHAnsi" w:cs="Calibri"/>
          <w:lang w:val="en-GB"/>
        </w:rPr>
        <w:t xml:space="preserve"> </w:t>
      </w:r>
    </w:p>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cs="Calibri"/>
          <w:sz w:val="22"/>
          <w:szCs w:val="28"/>
          <w:lang w:val="en-GB"/>
        </w:rPr>
        <w:br w:type="page"/>
      </w:r>
      <w:bookmarkStart w:id="70" w:name="_Toc461625136"/>
      <w:bookmarkStart w:id="71" w:name="_Toc461625238"/>
      <w:bookmarkStart w:id="72" w:name="_Toc496279031"/>
      <w:r w:rsidRPr="000A6B0A">
        <w:rPr>
          <w:rFonts w:asciiTheme="minorHAnsi" w:hAnsiTheme="minorHAnsi"/>
          <w:sz w:val="22"/>
          <w:szCs w:val="22"/>
          <w:lang w:val="en-GB"/>
        </w:rPr>
        <w:lastRenderedPageBreak/>
        <w:t>Luxemburg</w:t>
      </w:r>
      <w:bookmarkEnd w:id="70"/>
      <w:bookmarkEnd w:id="71"/>
      <w:bookmarkEnd w:id="72"/>
    </w:p>
    <w:p w:rsidR="00C1403C" w:rsidRPr="000A6B0A" w:rsidRDefault="00C1403C" w:rsidP="00B52093">
      <w:pPr>
        <w:rPr>
          <w:sz w:val="16"/>
          <w:lang w:val="en-GB"/>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5"/>
        <w:gridCol w:w="1607"/>
        <w:gridCol w:w="3232"/>
        <w:gridCol w:w="2950"/>
      </w:tblGrid>
      <w:tr w:rsidR="002822DF" w:rsidRPr="000A6B0A" w:rsidTr="00A17B87">
        <w:trPr>
          <w:jc w:val="center"/>
        </w:trPr>
        <w:tc>
          <w:tcPr>
            <w:tcW w:w="1425"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607"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232"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95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1E3837" w:rsidRPr="00C54CEB" w:rsidTr="00D90456">
        <w:trPr>
          <w:jc w:val="center"/>
        </w:trPr>
        <w:tc>
          <w:tcPr>
            <w:tcW w:w="6264" w:type="dxa"/>
            <w:gridSpan w:val="3"/>
            <w:vAlign w:val="center"/>
          </w:tcPr>
          <w:p w:rsidR="001E3837" w:rsidRPr="000A6B0A" w:rsidRDefault="001E3837">
            <w:pPr>
              <w:pStyle w:val="Tabellentextrechts"/>
              <w:spacing w:before="0" w:after="0"/>
              <w:jc w:val="center"/>
              <w:rPr>
                <w:rFonts w:asciiTheme="minorHAnsi" w:hAnsiTheme="minorHAnsi" w:cs="Calibri"/>
                <w:b/>
                <w:sz w:val="20"/>
                <w:lang w:val="en-GB"/>
              </w:rPr>
            </w:pPr>
            <w:r w:rsidRPr="000A6B0A">
              <w:rPr>
                <w:rFonts w:asciiTheme="minorHAnsi" w:hAnsiTheme="minorHAnsi" w:cs="Calibri"/>
                <w:b/>
                <w:sz w:val="20"/>
                <w:lang w:val="en-GB"/>
              </w:rPr>
              <w:t>Minimum service</w:t>
            </w:r>
          </w:p>
        </w:tc>
        <w:tc>
          <w:tcPr>
            <w:tcW w:w="2950" w:type="dxa"/>
            <w:vAlign w:val="center"/>
          </w:tcPr>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Equals the cost that can be allocated directly to running the railway service and include a fee for </w:t>
            </w:r>
            <w:r w:rsidR="00A17B87" w:rsidRPr="000A6B0A">
              <w:rPr>
                <w:rFonts w:asciiTheme="minorHAnsi" w:hAnsiTheme="minorHAnsi" w:cs="Calibri"/>
                <w:sz w:val="20"/>
                <w:lang w:val="en-GB"/>
              </w:rPr>
              <w:t xml:space="preserve">scarcity </w:t>
            </w:r>
            <w:r w:rsidRPr="000A6B0A">
              <w:rPr>
                <w:rFonts w:asciiTheme="minorHAnsi" w:hAnsiTheme="minorHAnsi" w:cs="Calibri"/>
                <w:sz w:val="20"/>
                <w:lang w:val="en-GB"/>
              </w:rPr>
              <w:t xml:space="preserve">of access </w:t>
            </w:r>
            <w:r w:rsidR="00A17B87" w:rsidRPr="000A6B0A">
              <w:rPr>
                <w:rFonts w:asciiTheme="minorHAnsi" w:hAnsiTheme="minorHAnsi" w:cs="Calibri"/>
                <w:sz w:val="20"/>
                <w:lang w:val="en-GB"/>
              </w:rPr>
              <w:t>to infrastructure</w:t>
            </w:r>
            <w:r w:rsidRPr="000A6B0A">
              <w:rPr>
                <w:rFonts w:asciiTheme="minorHAnsi" w:hAnsiTheme="minorHAnsi" w:cs="Calibri"/>
                <w:sz w:val="20"/>
                <w:lang w:val="en-GB"/>
              </w:rPr>
              <w:t xml:space="preserve"> capabilities</w:t>
            </w:r>
          </w:p>
        </w:tc>
      </w:tr>
      <w:tr w:rsidR="001E3837" w:rsidRPr="00C54CEB" w:rsidTr="00A17B87">
        <w:trPr>
          <w:jc w:val="center"/>
        </w:trPr>
        <w:tc>
          <w:tcPr>
            <w:tcW w:w="1425" w:type="dxa"/>
            <w:vAlign w:val="center"/>
          </w:tcPr>
          <w:p w:rsidR="001E3837" w:rsidRPr="000A6B0A" w:rsidRDefault="001E3837">
            <w:pPr>
              <w:jc w:val="center"/>
              <w:rPr>
                <w:rFonts w:asciiTheme="minorHAnsi" w:hAnsiTheme="minorHAnsi" w:cs="Calibri"/>
                <w:lang w:val="en-GB" w:eastAsia="de-CH"/>
              </w:rPr>
            </w:pPr>
            <w:r w:rsidRPr="000A6B0A">
              <w:rPr>
                <w:rFonts w:asciiTheme="minorHAnsi" w:hAnsiTheme="minorHAnsi" w:cs="Calibri"/>
                <w:lang w:val="en-GB" w:eastAsia="de-CH"/>
              </w:rPr>
              <w:t>Access and request of path</w:t>
            </w:r>
          </w:p>
        </w:tc>
        <w:tc>
          <w:tcPr>
            <w:tcW w:w="1607" w:type="dxa"/>
            <w:vAlign w:val="center"/>
          </w:tcPr>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 path</w:t>
            </w:r>
            <w:r w:rsidR="00A17B87" w:rsidRPr="000A6B0A">
              <w:rPr>
                <w:rFonts w:asciiTheme="minorHAnsi" w:hAnsiTheme="minorHAnsi" w:cs="Calibri"/>
                <w:sz w:val="20"/>
                <w:lang w:val="en-GB"/>
              </w:rPr>
              <w:t>.</w:t>
            </w:r>
            <w:r w:rsidRPr="000A6B0A">
              <w:rPr>
                <w:rFonts w:asciiTheme="minorHAnsi" w:hAnsiTheme="minorHAnsi" w:cs="Calibri"/>
                <w:sz w:val="20"/>
                <w:lang w:val="en-GB"/>
              </w:rPr>
              <w:t>km</w:t>
            </w:r>
          </w:p>
        </w:tc>
        <w:tc>
          <w:tcPr>
            <w:tcW w:w="3232" w:type="dxa"/>
            <w:vAlign w:val="center"/>
          </w:tcPr>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Regular train path</w:t>
            </w:r>
          </w:p>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Pre-arranged extraordinary train path</w:t>
            </w:r>
          </w:p>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Tailor made extraordinary train path</w:t>
            </w:r>
          </w:p>
        </w:tc>
        <w:tc>
          <w:tcPr>
            <w:tcW w:w="2950" w:type="dxa"/>
            <w:vAlign w:val="center"/>
          </w:tcPr>
          <w:p w:rsidR="001E3837" w:rsidRPr="000A6B0A" w:rsidRDefault="001E3837">
            <w:pPr>
              <w:pStyle w:val="Tabellentextrechts"/>
              <w:spacing w:before="0" w:after="0"/>
              <w:jc w:val="center"/>
              <w:rPr>
                <w:rFonts w:asciiTheme="minorHAnsi" w:hAnsiTheme="minorHAnsi" w:cs="Calibri"/>
                <w:sz w:val="20"/>
                <w:lang w:val="en-GB"/>
              </w:rPr>
            </w:pPr>
          </w:p>
        </w:tc>
      </w:tr>
      <w:tr w:rsidR="001E3837" w:rsidRPr="00C54CEB" w:rsidTr="00A17B87">
        <w:trPr>
          <w:jc w:val="center"/>
        </w:trPr>
        <w:tc>
          <w:tcPr>
            <w:tcW w:w="1425" w:type="dxa"/>
            <w:vAlign w:val="center"/>
          </w:tcPr>
          <w:p w:rsidR="001E3837" w:rsidRPr="000A6B0A" w:rsidRDefault="001E3837">
            <w:pPr>
              <w:jc w:val="center"/>
              <w:rPr>
                <w:rFonts w:asciiTheme="minorHAnsi" w:hAnsiTheme="minorHAnsi" w:cs="Calibri"/>
                <w:lang w:val="en-GB" w:eastAsia="de-CH"/>
              </w:rPr>
            </w:pPr>
            <w:r w:rsidRPr="000A6B0A">
              <w:rPr>
                <w:rFonts w:asciiTheme="minorHAnsi" w:hAnsiTheme="minorHAnsi" w:cs="Calibri"/>
                <w:lang w:val="en-GB" w:eastAsia="de-CH"/>
              </w:rPr>
              <w:t>Operation of path (track wear)</w:t>
            </w:r>
          </w:p>
        </w:tc>
        <w:tc>
          <w:tcPr>
            <w:tcW w:w="1607" w:type="dxa"/>
            <w:vAlign w:val="center"/>
          </w:tcPr>
          <w:p w:rsidR="001E3837" w:rsidRPr="000A6B0A" w:rsidRDefault="00A17B8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 path.km</w:t>
            </w:r>
          </w:p>
        </w:tc>
        <w:tc>
          <w:tcPr>
            <w:tcW w:w="3232" w:type="dxa"/>
            <w:vAlign w:val="center"/>
          </w:tcPr>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train</w:t>
            </w:r>
          </w:p>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Combined transport freight train</w:t>
            </w:r>
          </w:p>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Motor-driven passenger train</w:t>
            </w:r>
          </w:p>
          <w:p w:rsidR="001E3837" w:rsidRPr="000A6B0A" w:rsidRDefault="001E383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train</w:t>
            </w:r>
          </w:p>
          <w:p w:rsidR="001E3837" w:rsidRPr="000A6B0A" w:rsidRDefault="001E3837">
            <w:pPr>
              <w:pStyle w:val="Tabellentextrechts"/>
              <w:spacing w:before="0" w:after="0"/>
              <w:ind w:left="34"/>
              <w:jc w:val="center"/>
              <w:rPr>
                <w:rFonts w:asciiTheme="minorHAnsi" w:hAnsiTheme="minorHAnsi" w:cs="Calibri"/>
                <w:sz w:val="20"/>
                <w:lang w:val="en-GB"/>
              </w:rPr>
            </w:pPr>
            <w:r w:rsidRPr="000A6B0A">
              <w:rPr>
                <w:rFonts w:asciiTheme="minorHAnsi" w:hAnsiTheme="minorHAnsi" w:cs="Calibri"/>
                <w:sz w:val="20"/>
                <w:lang w:val="en-GB"/>
              </w:rPr>
              <w:t>Running locomotive</w:t>
            </w:r>
          </w:p>
        </w:tc>
        <w:tc>
          <w:tcPr>
            <w:tcW w:w="2950" w:type="dxa"/>
            <w:vAlign w:val="center"/>
          </w:tcPr>
          <w:p w:rsidR="001E3837" w:rsidRPr="000A6B0A" w:rsidRDefault="001E3837">
            <w:pPr>
              <w:pStyle w:val="Tabellentextrechts"/>
              <w:spacing w:before="0" w:after="0"/>
              <w:jc w:val="center"/>
              <w:rPr>
                <w:rFonts w:asciiTheme="minorHAnsi" w:hAnsiTheme="minorHAnsi" w:cs="Calibri"/>
                <w:sz w:val="20"/>
                <w:lang w:val="en-GB"/>
              </w:rPr>
            </w:pPr>
          </w:p>
        </w:tc>
      </w:tr>
      <w:tr w:rsidR="001E3837" w:rsidRPr="000A6B0A" w:rsidTr="00A17B87">
        <w:trPr>
          <w:jc w:val="center"/>
        </w:trPr>
        <w:tc>
          <w:tcPr>
            <w:tcW w:w="1425" w:type="dxa"/>
            <w:vAlign w:val="center"/>
          </w:tcPr>
          <w:p w:rsidR="001E3837" w:rsidRPr="000A6B0A" w:rsidRDefault="001E3837">
            <w:pPr>
              <w:jc w:val="center"/>
              <w:rPr>
                <w:rFonts w:asciiTheme="minorHAnsi" w:hAnsiTheme="minorHAnsi" w:cs="Calibri"/>
                <w:lang w:val="en-GB" w:eastAsia="de-CH"/>
              </w:rPr>
            </w:pPr>
            <w:r w:rsidRPr="000A6B0A">
              <w:rPr>
                <w:rFonts w:asciiTheme="minorHAnsi" w:hAnsiTheme="minorHAnsi" w:cs="Calibri"/>
                <w:lang w:val="en-GB" w:eastAsia="de-CH"/>
              </w:rPr>
              <w:t xml:space="preserve">Capacity </w:t>
            </w:r>
            <w:r w:rsidR="00A17B87" w:rsidRPr="000A6B0A">
              <w:rPr>
                <w:rFonts w:asciiTheme="minorHAnsi" w:hAnsiTheme="minorHAnsi" w:cs="Calibri"/>
                <w:lang w:val="en-GB" w:eastAsia="de-CH"/>
              </w:rPr>
              <w:t>/</w:t>
            </w:r>
            <w:r w:rsidRPr="000A6B0A">
              <w:rPr>
                <w:rFonts w:asciiTheme="minorHAnsi" w:hAnsiTheme="minorHAnsi" w:cs="Calibri"/>
                <w:lang w:val="en-GB" w:eastAsia="de-CH"/>
              </w:rPr>
              <w:t xml:space="preserve"> congestion charge</w:t>
            </w:r>
          </w:p>
        </w:tc>
        <w:tc>
          <w:tcPr>
            <w:tcW w:w="1607" w:type="dxa"/>
            <w:vAlign w:val="center"/>
          </w:tcPr>
          <w:p w:rsidR="001E3837" w:rsidRPr="000A6B0A" w:rsidRDefault="00A17B87">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 path.km</w:t>
            </w:r>
          </w:p>
        </w:tc>
        <w:tc>
          <w:tcPr>
            <w:tcW w:w="3232" w:type="dxa"/>
            <w:vAlign w:val="center"/>
          </w:tcPr>
          <w:p w:rsidR="001E3837" w:rsidRPr="000A6B0A" w:rsidRDefault="001E3837">
            <w:pPr>
              <w:pStyle w:val="Tabellentextrechts"/>
              <w:spacing w:before="0" w:after="0"/>
              <w:ind w:left="34"/>
              <w:jc w:val="center"/>
              <w:rPr>
                <w:rFonts w:asciiTheme="minorHAnsi" w:hAnsiTheme="minorHAnsi" w:cs="Calibri"/>
                <w:sz w:val="20"/>
                <w:lang w:val="en-GB"/>
              </w:rPr>
            </w:pPr>
          </w:p>
        </w:tc>
        <w:tc>
          <w:tcPr>
            <w:tcW w:w="2950" w:type="dxa"/>
            <w:vAlign w:val="center"/>
          </w:tcPr>
          <w:p w:rsidR="001E3837" w:rsidRPr="000A6B0A" w:rsidRDefault="001E3837">
            <w:pPr>
              <w:pStyle w:val="Tabellentextrechts"/>
              <w:spacing w:before="0" w:after="0"/>
              <w:jc w:val="center"/>
              <w:rPr>
                <w:rFonts w:asciiTheme="minorHAnsi" w:hAnsiTheme="minorHAnsi" w:cs="Calibri"/>
                <w:sz w:val="20"/>
                <w:lang w:val="en-GB"/>
              </w:rPr>
            </w:pPr>
          </w:p>
        </w:tc>
      </w:tr>
    </w:tbl>
    <w:p w:rsidR="001E3837" w:rsidRPr="000A6B0A" w:rsidRDefault="001E3837" w:rsidP="00081750">
      <w:pPr>
        <w:rPr>
          <w:rFonts w:asciiTheme="minorHAnsi" w:hAnsiTheme="minorHAnsi" w:cs="Calibri"/>
          <w:lang w:val="en-GB"/>
        </w:rPr>
      </w:pPr>
    </w:p>
    <w:p w:rsidR="001E3837" w:rsidRPr="000A6B0A" w:rsidRDefault="001E3837" w:rsidP="00AD6775">
      <w:pPr>
        <w:rPr>
          <w:rFonts w:asciiTheme="minorHAnsi" w:hAnsiTheme="minorHAnsi" w:cs="Calibri"/>
          <w:sz w:val="22"/>
          <w:szCs w:val="22"/>
          <w:lang w:val="en-GB"/>
        </w:rPr>
      </w:pPr>
      <w:r w:rsidRPr="000A6B0A">
        <w:rPr>
          <w:rFonts w:asciiTheme="minorHAnsi" w:hAnsiTheme="minorHAnsi" w:cs="Calibri"/>
          <w:sz w:val="22"/>
          <w:szCs w:val="22"/>
          <w:u w:val="single"/>
          <w:lang w:val="en-GB"/>
        </w:rPr>
        <w:t>Note</w:t>
      </w:r>
      <w:r w:rsidRPr="000A6B0A">
        <w:rPr>
          <w:rFonts w:asciiTheme="minorHAnsi" w:hAnsiTheme="minorHAnsi" w:cs="Calibri"/>
          <w:sz w:val="22"/>
          <w:szCs w:val="22"/>
          <w:lang w:val="en-GB"/>
        </w:rPr>
        <w:t>: A performance regime is applied with penalties and compensations</w:t>
      </w:r>
    </w:p>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cs="Calibri"/>
          <w:sz w:val="24"/>
          <w:szCs w:val="24"/>
          <w:lang w:val="en-GB"/>
        </w:rPr>
        <w:br w:type="page"/>
      </w:r>
      <w:bookmarkStart w:id="73" w:name="_Toc461625137"/>
      <w:bookmarkStart w:id="74" w:name="_Toc461625239"/>
      <w:bookmarkStart w:id="75" w:name="_Toc496279032"/>
      <w:r w:rsidRPr="000A6B0A">
        <w:rPr>
          <w:rFonts w:asciiTheme="minorHAnsi" w:hAnsiTheme="minorHAnsi"/>
          <w:sz w:val="22"/>
          <w:szCs w:val="22"/>
          <w:lang w:val="en-GB"/>
        </w:rPr>
        <w:lastRenderedPageBreak/>
        <w:t>Netherlands</w:t>
      </w:r>
      <w:bookmarkEnd w:id="73"/>
      <w:bookmarkEnd w:id="74"/>
      <w:bookmarkEnd w:id="75"/>
    </w:p>
    <w:p w:rsidR="001E3837" w:rsidRPr="000A6B0A" w:rsidRDefault="001E3837" w:rsidP="00AC5C05">
      <w:pPr>
        <w:rPr>
          <w:rFonts w:asciiTheme="minorHAnsi" w:hAnsiTheme="minorHAnsi" w:cs="Calibr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1134"/>
        <w:gridCol w:w="2753"/>
        <w:gridCol w:w="2921"/>
      </w:tblGrid>
      <w:tr w:rsidR="002822DF" w:rsidRPr="000A6B0A" w:rsidTr="00AC5C05">
        <w:trPr>
          <w:jc w:val="center"/>
        </w:trPr>
        <w:tc>
          <w:tcPr>
            <w:tcW w:w="1441"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134"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753"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921"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3712A4" w:rsidRPr="00C54CEB" w:rsidTr="00AC5C05">
        <w:trPr>
          <w:jc w:val="center"/>
        </w:trPr>
        <w:tc>
          <w:tcPr>
            <w:tcW w:w="1441" w:type="dxa"/>
            <w:vAlign w:val="center"/>
          </w:tcPr>
          <w:p w:rsidR="003712A4" w:rsidRPr="000A6B0A" w:rsidRDefault="003712A4"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Access Variable Usage Charge</w:t>
            </w:r>
          </w:p>
          <w:p w:rsidR="003712A4" w:rsidRPr="000A6B0A" w:rsidRDefault="003712A4">
            <w:pPr>
              <w:jc w:val="center"/>
              <w:rPr>
                <w:rFonts w:asciiTheme="minorHAnsi" w:hAnsiTheme="minorHAnsi" w:cs="Calibri"/>
                <w:b/>
                <w:spacing w:val="-2"/>
                <w:sz w:val="20"/>
                <w:szCs w:val="20"/>
                <w:lang w:val="en-GB" w:eastAsia="de-CH"/>
              </w:rPr>
            </w:pPr>
          </w:p>
        </w:tc>
        <w:tc>
          <w:tcPr>
            <w:tcW w:w="1134" w:type="dxa"/>
            <w:vAlign w:val="center"/>
          </w:tcPr>
          <w:p w:rsidR="003712A4" w:rsidRPr="000A6B0A" w:rsidRDefault="00A17B87"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train.</w:t>
            </w:r>
            <w:r w:rsidR="003712A4" w:rsidRPr="000A6B0A">
              <w:rPr>
                <w:rFonts w:asciiTheme="minorHAnsi" w:hAnsiTheme="minorHAnsi" w:cs="Calibri"/>
                <w:spacing w:val="-2"/>
                <w:sz w:val="20"/>
                <w:lang w:val="en-GB"/>
              </w:rPr>
              <w:t>km / ton</w:t>
            </w:r>
            <w:r w:rsidRPr="000A6B0A">
              <w:rPr>
                <w:rFonts w:asciiTheme="minorHAnsi" w:hAnsiTheme="minorHAnsi" w:cs="Calibri"/>
                <w:spacing w:val="-2"/>
                <w:sz w:val="20"/>
                <w:lang w:val="en-GB"/>
              </w:rPr>
              <w:t>ne.</w:t>
            </w:r>
            <w:r w:rsidR="003712A4" w:rsidRPr="000A6B0A">
              <w:rPr>
                <w:rFonts w:asciiTheme="minorHAnsi" w:hAnsiTheme="minorHAnsi" w:cs="Calibri"/>
                <w:spacing w:val="-2"/>
                <w:sz w:val="20"/>
                <w:lang w:val="en-GB"/>
              </w:rPr>
              <w:t>km</w:t>
            </w:r>
          </w:p>
        </w:tc>
        <w:tc>
          <w:tcPr>
            <w:tcW w:w="2753" w:type="dxa"/>
            <w:vAlign w:val="center"/>
          </w:tcPr>
          <w:p w:rsidR="003712A4" w:rsidRPr="000A6B0A" w:rsidRDefault="003712A4"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Differentiation between freight and passengers</w:t>
            </w:r>
          </w:p>
          <w:p w:rsidR="003712A4" w:rsidRPr="000A6B0A" w:rsidRDefault="003712A4"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Freight: train km by graduated weight category</w:t>
            </w:r>
          </w:p>
          <w:p w:rsidR="003712A4" w:rsidRPr="000A6B0A" w:rsidRDefault="003712A4"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 xml:space="preserve">Passengers: train km by graduated weight category </w:t>
            </w:r>
          </w:p>
        </w:tc>
        <w:tc>
          <w:tcPr>
            <w:tcW w:w="2921" w:type="dxa"/>
            <w:vAlign w:val="center"/>
          </w:tcPr>
          <w:p w:rsidR="003712A4" w:rsidRPr="000A6B0A" w:rsidRDefault="003712A4"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Covers the incremental cost of operatin</w:t>
            </w:r>
            <w:r w:rsidR="00A17B87" w:rsidRPr="000A6B0A">
              <w:rPr>
                <w:rFonts w:asciiTheme="minorHAnsi" w:hAnsiTheme="minorHAnsi" w:cs="Calibri"/>
                <w:spacing w:val="-2"/>
                <w:sz w:val="20"/>
                <w:lang w:val="en-GB"/>
              </w:rPr>
              <w:t>g a train on the network. M</w:t>
            </w:r>
            <w:r w:rsidRPr="000A6B0A">
              <w:rPr>
                <w:rFonts w:asciiTheme="minorHAnsi" w:hAnsiTheme="minorHAnsi" w:cs="Calibri"/>
                <w:spacing w:val="-2"/>
                <w:sz w:val="20"/>
                <w:lang w:val="en-GB"/>
              </w:rPr>
              <w:t>easured by a percentage of wear and tear cost in total maintenance costs.</w:t>
            </w:r>
          </w:p>
        </w:tc>
      </w:tr>
      <w:tr w:rsidR="003712A4" w:rsidRPr="00C54CEB" w:rsidTr="00AC5C05">
        <w:trPr>
          <w:jc w:val="center"/>
        </w:trPr>
        <w:tc>
          <w:tcPr>
            <w:tcW w:w="1441" w:type="dxa"/>
            <w:vAlign w:val="center"/>
          </w:tcPr>
          <w:p w:rsidR="003712A4" w:rsidRPr="000A6B0A" w:rsidRDefault="003712A4"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Electrification: use of electrical wire</w:t>
            </w:r>
          </w:p>
        </w:tc>
        <w:tc>
          <w:tcPr>
            <w:tcW w:w="1134" w:type="dxa"/>
            <w:vAlign w:val="center"/>
          </w:tcPr>
          <w:p w:rsidR="003712A4" w:rsidRPr="000A6B0A" w:rsidRDefault="003712A4"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KwH</w:t>
            </w:r>
          </w:p>
        </w:tc>
        <w:tc>
          <w:tcPr>
            <w:tcW w:w="2753" w:type="dxa"/>
            <w:vAlign w:val="center"/>
          </w:tcPr>
          <w:p w:rsidR="003712A4" w:rsidRPr="000A6B0A" w:rsidRDefault="003712A4"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No segmentation, defined by km per train type/weight, train type and speed (actual usage in case gauges have been fitted)</w:t>
            </w:r>
          </w:p>
        </w:tc>
        <w:tc>
          <w:tcPr>
            <w:tcW w:w="2921" w:type="dxa"/>
            <w:vAlign w:val="center"/>
          </w:tcPr>
          <w:p w:rsidR="003712A4" w:rsidRPr="000A6B0A" w:rsidRDefault="003712A4"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Covers cost of transport of electricity only, wear and tear of wire not included</w:t>
            </w:r>
          </w:p>
        </w:tc>
      </w:tr>
      <w:tr w:rsidR="001E3837" w:rsidRPr="00C54CEB" w:rsidTr="00AC5C05">
        <w:trPr>
          <w:jc w:val="center"/>
        </w:trPr>
        <w:tc>
          <w:tcPr>
            <w:tcW w:w="1441"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Access via rail to railway stations</w:t>
            </w:r>
          </w:p>
        </w:tc>
        <w:tc>
          <w:tcPr>
            <w:tcW w:w="1134"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stop per train category</w:t>
            </w:r>
          </w:p>
        </w:tc>
        <w:tc>
          <w:tcPr>
            <w:tcW w:w="2753"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Six categories of stations (by size/number of passengers).</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Three train categories defined by percentage of stops on their total route.</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Category A: stops at max. 15% of stations on route</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Category B: stops at max. 50% of stations on route</w:t>
            </w:r>
          </w:p>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Category C: stops at 51-100% of stations on route</w:t>
            </w:r>
          </w:p>
        </w:tc>
        <w:tc>
          <w:tcPr>
            <w:tcW w:w="292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Recovery of ProRail’s part of station maintenance; ProRail does not own the stations, but has a right of use of the tracks and passenger corridors to and from platforms. Charge covers only the costs involved with corridors (cleaning and maintenance)</w:t>
            </w:r>
          </w:p>
        </w:tc>
      </w:tr>
      <w:tr w:rsidR="001E3837" w:rsidRPr="00C54CEB" w:rsidTr="00AC5C05">
        <w:trPr>
          <w:jc w:val="center"/>
        </w:trPr>
        <w:tc>
          <w:tcPr>
            <w:tcW w:w="1441" w:type="dxa"/>
            <w:vAlign w:val="center"/>
          </w:tcPr>
          <w:p w:rsidR="001E3837" w:rsidRPr="000A6B0A" w:rsidRDefault="001E3837"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Shunting and parking</w:t>
            </w:r>
          </w:p>
        </w:tc>
        <w:tc>
          <w:tcPr>
            <w:tcW w:w="1134"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meter of track / day / month year</w:t>
            </w:r>
          </w:p>
        </w:tc>
        <w:tc>
          <w:tcPr>
            <w:tcW w:w="2753"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Two categories: service areas co</w:t>
            </w:r>
            <w:r w:rsidR="00A17B87" w:rsidRPr="000A6B0A">
              <w:rPr>
                <w:rFonts w:asciiTheme="minorHAnsi" w:hAnsiTheme="minorHAnsi" w:cs="Calibri"/>
                <w:sz w:val="20"/>
                <w:lang w:val="en-GB"/>
              </w:rPr>
              <w:t xml:space="preserve">ntrolled centrally/ decentrally </w:t>
            </w:r>
            <w:r w:rsidRPr="000A6B0A">
              <w:rPr>
                <w:rFonts w:asciiTheme="minorHAnsi" w:hAnsiTheme="minorHAnsi" w:cs="Calibri"/>
                <w:sz w:val="20"/>
                <w:lang w:val="en-GB"/>
              </w:rPr>
              <w:t>(switch points controlled locally or centrally)</w:t>
            </w:r>
          </w:p>
        </w:tc>
        <w:tc>
          <w:tcPr>
            <w:tcW w:w="2921" w:type="dxa"/>
            <w:vAlign w:val="center"/>
          </w:tcPr>
          <w:p w:rsidR="001E3837" w:rsidRPr="000A6B0A" w:rsidRDefault="001E3837"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Covers incremental cost of track wear and tear measured by a percentage of maintenance cost</w:t>
            </w:r>
          </w:p>
        </w:tc>
      </w:tr>
    </w:tbl>
    <w:p w:rsidR="001E3837" w:rsidRPr="000A6B0A" w:rsidRDefault="001E3837" w:rsidP="00AC5C05">
      <w:pPr>
        <w:rPr>
          <w:rFonts w:asciiTheme="minorHAnsi" w:hAnsiTheme="minorHAnsi" w:cs="Calibri"/>
          <w:sz w:val="24"/>
          <w:szCs w:val="24"/>
          <w:lang w:val="en-GB"/>
        </w:rPr>
      </w:pPr>
    </w:p>
    <w:p w:rsidR="00C52A47" w:rsidRPr="000A6B0A" w:rsidRDefault="001E3837" w:rsidP="00E561FB">
      <w:pPr>
        <w:pStyle w:val="Titre2"/>
        <w:numPr>
          <w:ilvl w:val="1"/>
          <w:numId w:val="14"/>
        </w:numPr>
        <w:tabs>
          <w:tab w:val="left" w:pos="720"/>
        </w:tabs>
        <w:jc w:val="both"/>
        <w:rPr>
          <w:rFonts w:asciiTheme="minorHAnsi" w:hAnsiTheme="minorHAnsi"/>
          <w:sz w:val="22"/>
          <w:szCs w:val="22"/>
          <w:lang w:val="en-GB"/>
        </w:rPr>
      </w:pPr>
      <w:r w:rsidRPr="000A6B0A">
        <w:rPr>
          <w:rFonts w:asciiTheme="minorHAnsi" w:hAnsiTheme="minorHAnsi" w:cs="Calibri"/>
          <w:b w:val="0"/>
          <w:smallCaps/>
          <w:sz w:val="24"/>
          <w:szCs w:val="24"/>
          <w:u w:val="single"/>
          <w:lang w:val="en-GB"/>
        </w:rPr>
        <w:br w:type="page"/>
      </w:r>
    </w:p>
    <w:p w:rsidR="00C52A47" w:rsidRPr="000A6B0A" w:rsidRDefault="00C52A47" w:rsidP="00E561FB">
      <w:pPr>
        <w:pStyle w:val="Titre1"/>
        <w:numPr>
          <w:ilvl w:val="1"/>
          <w:numId w:val="13"/>
        </w:numPr>
        <w:spacing w:line="276" w:lineRule="auto"/>
        <w:jc w:val="both"/>
        <w:rPr>
          <w:rFonts w:asciiTheme="minorHAnsi" w:hAnsiTheme="minorHAnsi"/>
          <w:sz w:val="22"/>
          <w:szCs w:val="22"/>
          <w:lang w:val="en-GB"/>
        </w:rPr>
      </w:pPr>
      <w:bookmarkStart w:id="76" w:name="_Toc461625138"/>
      <w:bookmarkStart w:id="77" w:name="_Toc461625240"/>
      <w:bookmarkStart w:id="78" w:name="_Toc496279033"/>
      <w:r w:rsidRPr="000A6B0A">
        <w:rPr>
          <w:rFonts w:asciiTheme="minorHAnsi" w:hAnsiTheme="minorHAnsi"/>
          <w:sz w:val="22"/>
          <w:szCs w:val="22"/>
          <w:lang w:val="en-GB"/>
        </w:rPr>
        <w:lastRenderedPageBreak/>
        <w:t>Norway</w:t>
      </w:r>
      <w:bookmarkEnd w:id="76"/>
      <w:bookmarkEnd w:id="77"/>
      <w:bookmarkEnd w:id="78"/>
    </w:p>
    <w:p w:rsidR="00C52A47" w:rsidRPr="000A6B0A" w:rsidRDefault="00C52A47" w:rsidP="00C52A47">
      <w:pPr>
        <w:ind w:left="360"/>
        <w:rPr>
          <w:rFonts w:asciiTheme="minorHAnsi" w:hAnsiTheme="minorHAnsi"/>
          <w:b/>
          <w:smallCaps/>
          <w:sz w:val="22"/>
          <w:szCs w:val="22"/>
          <w:lang w:val="en-GB"/>
        </w:rPr>
      </w:pPr>
    </w:p>
    <w:p w:rsidR="00DF6B17" w:rsidRDefault="00DF6B17" w:rsidP="0086605D">
      <w:pPr>
        <w:spacing w:line="276" w:lineRule="auto"/>
        <w:jc w:val="both"/>
        <w:rPr>
          <w:rFonts w:asciiTheme="minorHAnsi" w:hAnsiTheme="minorHAnsi"/>
          <w:color w:val="000000"/>
          <w:sz w:val="22"/>
          <w:szCs w:val="22"/>
          <w:lang w:val="en-GB" w:eastAsia="nb-NO"/>
        </w:rPr>
      </w:pPr>
      <w:r>
        <w:rPr>
          <w:rFonts w:asciiTheme="minorHAnsi" w:hAnsiTheme="minorHAnsi"/>
          <w:color w:val="000000"/>
          <w:sz w:val="22"/>
          <w:szCs w:val="22"/>
          <w:lang w:val="en-GB" w:eastAsia="nb-NO"/>
        </w:rPr>
        <w:t xml:space="preserve">Directive 2012/34/EU has not yet been implemented in Norway. However, the content has mainly been implemented in national regulation. </w:t>
      </w:r>
    </w:p>
    <w:p w:rsidR="00DF6B17" w:rsidRDefault="00DF6B17" w:rsidP="0086605D">
      <w:pPr>
        <w:spacing w:line="276" w:lineRule="auto"/>
        <w:jc w:val="both"/>
        <w:rPr>
          <w:rFonts w:asciiTheme="minorHAnsi" w:hAnsiTheme="minorHAnsi"/>
          <w:color w:val="000000"/>
          <w:sz w:val="22"/>
          <w:szCs w:val="22"/>
          <w:lang w:val="en-GB" w:eastAsia="nb-NO"/>
        </w:rPr>
      </w:pPr>
    </w:p>
    <w:p w:rsidR="00DF6B17" w:rsidRDefault="00DF6B17" w:rsidP="0086605D">
      <w:pPr>
        <w:spacing w:line="276" w:lineRule="auto"/>
        <w:jc w:val="both"/>
        <w:rPr>
          <w:rFonts w:asciiTheme="minorHAnsi" w:hAnsiTheme="minorHAnsi"/>
          <w:color w:val="000000"/>
          <w:sz w:val="22"/>
          <w:szCs w:val="22"/>
          <w:lang w:val="en-GB" w:eastAsia="nb-NO"/>
        </w:rPr>
      </w:pPr>
      <w:r>
        <w:rPr>
          <w:rFonts w:asciiTheme="minorHAnsi" w:hAnsiTheme="minorHAnsi"/>
          <w:color w:val="000000"/>
          <w:sz w:val="22"/>
          <w:szCs w:val="22"/>
          <w:lang w:val="en-GB" w:eastAsia="nb-NO"/>
        </w:rPr>
        <w:t>Charges corresponding with Chapter IV Section 2 (art. 29 -37) in Directive 2012/34/EU in 2018:</w:t>
      </w:r>
    </w:p>
    <w:p w:rsidR="00C52A47" w:rsidRPr="000A6B0A" w:rsidRDefault="00C52A47" w:rsidP="00C52A47">
      <w:pPr>
        <w:ind w:left="720"/>
        <w:jc w:val="both"/>
        <w:rPr>
          <w:rFonts w:asciiTheme="minorHAnsi" w:hAnsiTheme="minorHAns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529"/>
        <w:gridCol w:w="2796"/>
        <w:gridCol w:w="2340"/>
      </w:tblGrid>
      <w:tr w:rsidR="002822DF" w:rsidRPr="000A6B0A" w:rsidTr="00A17B87">
        <w:trPr>
          <w:jc w:val="center"/>
        </w:trPr>
        <w:tc>
          <w:tcPr>
            <w:tcW w:w="131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529"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796"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DF6B17" w:rsidRPr="00C54CEB" w:rsidTr="00A17B87">
        <w:trPr>
          <w:jc w:val="center"/>
        </w:trPr>
        <w:tc>
          <w:tcPr>
            <w:tcW w:w="1310" w:type="dxa"/>
            <w:vAlign w:val="center"/>
          </w:tcPr>
          <w:p w:rsidR="00DF6B17" w:rsidRDefault="00DF6B17" w:rsidP="0086605D">
            <w:pPr>
              <w:pStyle w:val="Tabellenkopf"/>
              <w:spacing w:before="0" w:after="0"/>
              <w:jc w:val="center"/>
              <w:rPr>
                <w:rFonts w:asciiTheme="minorHAnsi" w:hAnsiTheme="minorHAnsi" w:cs="Calibri"/>
                <w:b/>
                <w:sz w:val="20"/>
                <w:lang w:val="en-GB"/>
              </w:rPr>
            </w:pPr>
            <w:r>
              <w:rPr>
                <w:rFonts w:asciiTheme="minorHAnsi" w:hAnsiTheme="minorHAnsi" w:cs="Calibri"/>
                <w:b/>
                <w:sz w:val="20"/>
                <w:lang w:val="en-GB"/>
              </w:rPr>
              <w:t>Charges reflecting direct costs</w:t>
            </w:r>
          </w:p>
          <w:p w:rsidR="00DF6B17" w:rsidRPr="000A6B0A" w:rsidRDefault="00DF6B17">
            <w:pPr>
              <w:jc w:val="center"/>
              <w:rPr>
                <w:rFonts w:asciiTheme="minorHAnsi" w:hAnsiTheme="minorHAnsi" w:cs="Calibri"/>
                <w:b/>
                <w:sz w:val="20"/>
                <w:szCs w:val="20"/>
                <w:lang w:val="en-GB" w:eastAsia="de-CH"/>
              </w:rPr>
            </w:pPr>
          </w:p>
        </w:tc>
        <w:tc>
          <w:tcPr>
            <w:tcW w:w="1529"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w:t>
            </w:r>
            <w:r>
              <w:rPr>
                <w:lang w:val="en-GB"/>
              </w:rPr>
              <w:t xml:space="preserve"> </w:t>
            </w:r>
            <w:r>
              <w:rPr>
                <w:rFonts w:asciiTheme="minorHAnsi" w:hAnsiTheme="minorHAnsi" w:cs="Calibri"/>
                <w:sz w:val="20"/>
                <w:lang w:val="en-GB"/>
              </w:rPr>
              <w:t xml:space="preserve">gross tonne.km </w:t>
            </w:r>
          </w:p>
        </w:tc>
        <w:tc>
          <w:tcPr>
            <w:tcW w:w="2796" w:type="dxa"/>
            <w:vAlign w:val="center"/>
          </w:tcPr>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Passenger traffic</w:t>
            </w:r>
          </w:p>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Freight traffic</w:t>
            </w:r>
          </w:p>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xml:space="preserve">Differentiated for three parts of the network </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Estimated average marginal maintenance costs incurred as a result of operating a train service</w:t>
            </w:r>
          </w:p>
        </w:tc>
      </w:tr>
      <w:tr w:rsidR="00DF6B17" w:rsidRPr="00C54CEB" w:rsidTr="00A17B87">
        <w:trPr>
          <w:jc w:val="center"/>
        </w:trPr>
        <w:tc>
          <w:tcPr>
            <w:tcW w:w="1310" w:type="dxa"/>
            <w:vAlign w:val="center"/>
          </w:tcPr>
          <w:p w:rsidR="00DF6B17" w:rsidRPr="000A6B0A" w:rsidRDefault="00DF6B17">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Capacity / congestion charge</w:t>
            </w:r>
          </w:p>
        </w:tc>
        <w:tc>
          <w:tcPr>
            <w:tcW w:w="1529"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 passage</w:t>
            </w:r>
          </w:p>
        </w:tc>
        <w:tc>
          <w:tcPr>
            <w:tcW w:w="2796"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Passage through the Oslo tunnel during rush hour</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p>
        </w:tc>
      </w:tr>
      <w:tr w:rsidR="00DF6B17" w:rsidRPr="00C54CEB" w:rsidTr="00A17B87">
        <w:trPr>
          <w:jc w:val="center"/>
        </w:trPr>
        <w:tc>
          <w:tcPr>
            <w:tcW w:w="1310" w:type="dxa"/>
            <w:vAlign w:val="center"/>
          </w:tcPr>
          <w:p w:rsidR="00DF6B17" w:rsidRPr="000A6B0A" w:rsidRDefault="00DF6B17">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Mark-ups</w:t>
            </w:r>
          </w:p>
        </w:tc>
        <w:tc>
          <w:tcPr>
            <w:tcW w:w="1529"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 gross tonne.km</w:t>
            </w:r>
          </w:p>
        </w:tc>
        <w:tc>
          <w:tcPr>
            <w:tcW w:w="2796"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Market segment “main airport”</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xml:space="preserve">Yearly cost of maintenance and renewal </w:t>
            </w:r>
          </w:p>
        </w:tc>
      </w:tr>
      <w:tr w:rsidR="00DF6B17" w:rsidRPr="00C54CEB" w:rsidTr="00A17B87">
        <w:trPr>
          <w:jc w:val="center"/>
        </w:trPr>
        <w:tc>
          <w:tcPr>
            <w:tcW w:w="1310" w:type="dxa"/>
            <w:vAlign w:val="center"/>
          </w:tcPr>
          <w:p w:rsidR="00DF6B17" w:rsidRPr="000A6B0A" w:rsidRDefault="00DF6B17">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Discounts</w:t>
            </w:r>
          </w:p>
        </w:tc>
        <w:tc>
          <w:tcPr>
            <w:tcW w:w="1529"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 gross tonne.km</w:t>
            </w:r>
          </w:p>
        </w:tc>
        <w:tc>
          <w:tcPr>
            <w:tcW w:w="2796"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Freight traffic on “considerably underutilised lines”</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p>
        </w:tc>
      </w:tr>
      <w:tr w:rsidR="00DF6B17" w:rsidRPr="00C54CEB" w:rsidTr="00A17B87">
        <w:trPr>
          <w:jc w:val="center"/>
        </w:trPr>
        <w:tc>
          <w:tcPr>
            <w:tcW w:w="1310" w:type="dxa"/>
            <w:vAlign w:val="center"/>
          </w:tcPr>
          <w:p w:rsidR="00DF6B17" w:rsidRPr="000A6B0A" w:rsidRDefault="00DF6B17">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Performance regime</w:t>
            </w:r>
          </w:p>
        </w:tc>
        <w:tc>
          <w:tcPr>
            <w:tcW w:w="1529" w:type="dxa"/>
            <w:vAlign w:val="center"/>
          </w:tcPr>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 minutes delayed</w:t>
            </w:r>
          </w:p>
          <w:p w:rsidR="00DF6B17" w:rsidRDefault="00DF6B17" w:rsidP="0086605D">
            <w:pPr>
              <w:pStyle w:val="Tabellentextrechts"/>
              <w:spacing w:before="0" w:after="0"/>
              <w:jc w:val="center"/>
              <w:rPr>
                <w:rFonts w:asciiTheme="minorHAnsi" w:hAnsiTheme="minorHAnsi" w:cs="Calibri"/>
                <w:sz w:val="20"/>
                <w:lang w:val="en-GB"/>
              </w:rPr>
            </w:pPr>
          </w:p>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NOK/ cancellation</w:t>
            </w:r>
          </w:p>
        </w:tc>
        <w:tc>
          <w:tcPr>
            <w:tcW w:w="2796"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Passenger traffic &gt; 3:59 min, freight traffic and long distance trains &gt; 5:59 min.</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Penalties for disrupting the operation of the network and compensation for actors which suffer from disruptions</w:t>
            </w:r>
          </w:p>
        </w:tc>
      </w:tr>
      <w:tr w:rsidR="00DF6B17" w:rsidRPr="00C54CEB" w:rsidTr="00A17B87">
        <w:trPr>
          <w:jc w:val="center"/>
        </w:trPr>
        <w:tc>
          <w:tcPr>
            <w:tcW w:w="1310" w:type="dxa"/>
            <w:vAlign w:val="center"/>
          </w:tcPr>
          <w:p w:rsidR="00DF6B17" w:rsidRPr="000A6B0A" w:rsidRDefault="00DF6B17">
            <w:pPr>
              <w:jc w:val="center"/>
              <w:rPr>
                <w:rFonts w:asciiTheme="minorHAnsi" w:hAnsiTheme="minorHAnsi" w:cs="Calibri"/>
                <w:b/>
                <w:sz w:val="20"/>
                <w:szCs w:val="20"/>
                <w:lang w:val="en-GB" w:eastAsia="de-CH"/>
              </w:rPr>
            </w:pPr>
            <w:r>
              <w:rPr>
                <w:rFonts w:asciiTheme="minorHAnsi" w:hAnsiTheme="minorHAnsi" w:cs="Calibri"/>
                <w:b/>
                <w:sz w:val="20"/>
                <w:szCs w:val="20"/>
                <w:lang w:val="en-GB" w:eastAsia="de-CH"/>
              </w:rPr>
              <w:t>Reservation charge</w:t>
            </w:r>
          </w:p>
        </w:tc>
        <w:tc>
          <w:tcPr>
            <w:tcW w:w="1529" w:type="dxa"/>
            <w:vAlign w:val="center"/>
          </w:tcPr>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 xml:space="preserve">NOK/ gross tonne.km </w:t>
            </w:r>
          </w:p>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(percentage of charges reflecting direct costs)</w:t>
            </w:r>
          </w:p>
        </w:tc>
        <w:tc>
          <w:tcPr>
            <w:tcW w:w="2796" w:type="dxa"/>
            <w:vAlign w:val="center"/>
          </w:tcPr>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Cancellation 59 days - 15 days before scheduled departure</w:t>
            </w:r>
          </w:p>
          <w:p w:rsidR="00DF6B17"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Cancellation 14 days – 72 hours before scheduled departure</w:t>
            </w:r>
          </w:p>
          <w:p w:rsidR="00DF6B17" w:rsidRPr="000A6B0A" w:rsidRDefault="00DF6B17"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Cancellation less than 72 hours before scheduled departure</w:t>
            </w:r>
          </w:p>
        </w:tc>
        <w:tc>
          <w:tcPr>
            <w:tcW w:w="2340" w:type="dxa"/>
            <w:vAlign w:val="center"/>
          </w:tcPr>
          <w:p w:rsidR="00DF6B17" w:rsidRPr="000A6B0A" w:rsidRDefault="00DF6B17" w:rsidP="0086605D">
            <w:pPr>
              <w:pStyle w:val="Tabellentextrechts"/>
              <w:spacing w:before="0" w:after="0"/>
              <w:jc w:val="center"/>
              <w:rPr>
                <w:rFonts w:asciiTheme="minorHAnsi" w:hAnsiTheme="minorHAnsi" w:cs="Calibri"/>
                <w:sz w:val="20"/>
                <w:lang w:val="en-GB"/>
              </w:rPr>
            </w:pPr>
          </w:p>
        </w:tc>
      </w:tr>
    </w:tbl>
    <w:p w:rsidR="00C52A47" w:rsidRPr="000A6B0A" w:rsidRDefault="00C52A47" w:rsidP="00B52093">
      <w:pPr>
        <w:pStyle w:val="Titre2"/>
        <w:numPr>
          <w:ilvl w:val="0"/>
          <w:numId w:val="0"/>
        </w:numPr>
        <w:tabs>
          <w:tab w:val="left" w:pos="720"/>
        </w:tabs>
        <w:jc w:val="both"/>
        <w:rPr>
          <w:rFonts w:asciiTheme="minorHAnsi" w:hAnsiTheme="minorHAnsi"/>
          <w:sz w:val="22"/>
          <w:szCs w:val="22"/>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BE5533" w:rsidRPr="000A6B0A" w:rsidRDefault="00BE5533" w:rsidP="00BE5533">
      <w:pPr>
        <w:rPr>
          <w:lang w:val="en-GB"/>
        </w:rPr>
      </w:pPr>
    </w:p>
    <w:p w:rsidR="008E31A9" w:rsidRPr="000A6B0A" w:rsidRDefault="008E31A9" w:rsidP="00E561FB">
      <w:pPr>
        <w:pStyle w:val="Titre1"/>
        <w:numPr>
          <w:ilvl w:val="1"/>
          <w:numId w:val="13"/>
        </w:numPr>
        <w:spacing w:line="276" w:lineRule="auto"/>
        <w:jc w:val="both"/>
        <w:rPr>
          <w:rFonts w:asciiTheme="minorHAnsi" w:hAnsiTheme="minorHAnsi"/>
          <w:sz w:val="22"/>
          <w:szCs w:val="22"/>
          <w:lang w:val="en-GB"/>
        </w:rPr>
      </w:pPr>
      <w:bookmarkStart w:id="79" w:name="_Toc414514737"/>
      <w:bookmarkStart w:id="80" w:name="_Toc461625139"/>
      <w:bookmarkStart w:id="81" w:name="_Toc461625241"/>
      <w:bookmarkStart w:id="82" w:name="_Toc496279034"/>
      <w:r w:rsidRPr="000A6B0A">
        <w:rPr>
          <w:rFonts w:asciiTheme="minorHAnsi" w:hAnsiTheme="minorHAnsi"/>
          <w:sz w:val="22"/>
          <w:szCs w:val="22"/>
          <w:lang w:val="en-GB"/>
        </w:rPr>
        <w:lastRenderedPageBreak/>
        <w:t>Poland</w:t>
      </w:r>
      <w:bookmarkEnd w:id="79"/>
      <w:bookmarkEnd w:id="80"/>
      <w:bookmarkEnd w:id="81"/>
      <w:bookmarkEnd w:id="82"/>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In Poland charges for the minimum access package are based on the costs directly incurred as a result of operating the train service and they are applied on non-discriminatory terms to all rail companies.</w:t>
      </w:r>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The unit rates of these charges must be submitted, together with the calculations of their values, to the President of the Office of Rail Transport. The President of the Office of Rail Transport approves the unit rates of charges within 30 days of the receipt or refuses to approve them if there is any infringement of calculation rules.</w:t>
      </w:r>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calculation of charges for the minimum access package takes into account </w:t>
      </w:r>
      <w:r w:rsidRPr="000A6B0A">
        <w:rPr>
          <w:rFonts w:asciiTheme="minorHAnsi" w:hAnsiTheme="minorHAnsi"/>
          <w:sz w:val="22"/>
          <w:szCs w:val="22"/>
          <w:lang w:val="en-GB"/>
        </w:rPr>
        <w:br/>
        <w:t>the part of the costs which is directly incurred as a result of operating the train service, in particular the part of the costs of:</w:t>
      </w:r>
    </w:p>
    <w:p w:rsidR="006C5F50" w:rsidRPr="000A6B0A" w:rsidRDefault="00A17B87"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maintenance and renewal;</w:t>
      </w:r>
    </w:p>
    <w:p w:rsidR="006C5F50" w:rsidRPr="000A6B0A" w:rsidRDefault="00A17B87"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rail traffic management;</w:t>
      </w:r>
    </w:p>
    <w:p w:rsidR="006C5F50" w:rsidRPr="000A6B0A" w:rsidRDefault="006C5F50"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depreciation, if it is determined on the basis of the actual wear of the infrastructure attributable to traffic</w:t>
      </w:r>
      <w:r w:rsidR="00A17B87" w:rsidRPr="000A6B0A">
        <w:rPr>
          <w:rFonts w:asciiTheme="minorHAnsi" w:hAnsiTheme="minorHAnsi"/>
          <w:sz w:val="22"/>
          <w:szCs w:val="22"/>
          <w:lang w:val="en-GB"/>
        </w:rPr>
        <w:t>.</w:t>
      </w:r>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The calculation of charges for the minimum access package does not include costs which are not directly incurred as a result of operating the train service, in particular:</w:t>
      </w:r>
    </w:p>
    <w:p w:rsidR="00A17B87" w:rsidRPr="000A6B0A" w:rsidRDefault="006C5F50"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t</w:t>
      </w:r>
      <w:r w:rsidR="00A17B87" w:rsidRPr="000A6B0A">
        <w:rPr>
          <w:rFonts w:asciiTheme="minorHAnsi" w:hAnsiTheme="minorHAnsi"/>
          <w:sz w:val="22"/>
          <w:szCs w:val="22"/>
          <w:lang w:val="en-GB"/>
        </w:rPr>
        <w:t>he administration costs;</w:t>
      </w:r>
    </w:p>
    <w:p w:rsidR="006C5F50" w:rsidRPr="000A6B0A" w:rsidRDefault="006C5F50"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infrastructure safety a</w:t>
      </w:r>
      <w:r w:rsidR="00A17B87" w:rsidRPr="000A6B0A">
        <w:rPr>
          <w:rFonts w:asciiTheme="minorHAnsi" w:hAnsiTheme="minorHAnsi"/>
          <w:sz w:val="22"/>
          <w:szCs w:val="22"/>
          <w:lang w:val="en-GB"/>
        </w:rPr>
        <w:t>nd public order in railway area;</w:t>
      </w:r>
    </w:p>
    <w:p w:rsidR="006C5F50" w:rsidRPr="000A6B0A" w:rsidRDefault="0024112B"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the financial costs;</w:t>
      </w:r>
    </w:p>
    <w:p w:rsidR="006C5F50" w:rsidRPr="000A6B0A" w:rsidRDefault="006C5F50" w:rsidP="0086605D">
      <w:pPr>
        <w:numPr>
          <w:ilvl w:val="0"/>
          <w:numId w:val="10"/>
        </w:numPr>
        <w:tabs>
          <w:tab w:val="clear" w:pos="360"/>
          <w:tab w:val="num" w:pos="1080"/>
        </w:tabs>
        <w:spacing w:line="276" w:lineRule="auto"/>
        <w:ind w:left="1080"/>
        <w:jc w:val="both"/>
        <w:rPr>
          <w:rFonts w:asciiTheme="minorHAnsi" w:hAnsiTheme="minorHAnsi"/>
          <w:sz w:val="22"/>
          <w:szCs w:val="22"/>
          <w:lang w:val="en-GB"/>
        </w:rPr>
      </w:pPr>
      <w:r w:rsidRPr="000A6B0A">
        <w:rPr>
          <w:rFonts w:asciiTheme="minorHAnsi" w:hAnsiTheme="minorHAnsi"/>
          <w:sz w:val="22"/>
          <w:szCs w:val="22"/>
          <w:lang w:val="en-GB"/>
        </w:rPr>
        <w:t xml:space="preserve">the indirect costs </w:t>
      </w:r>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Charges depend on train-km and they are differentiated on the basis of five different line categories and weight categories of trains. For passenger services there are 16 weight categories of trains and for freight services - 37 weight categories of trains. The line categories are determined on the basis of traffic intensity and speed limits.</w:t>
      </w:r>
    </w:p>
    <w:p w:rsidR="006C5F50" w:rsidRPr="000A6B0A" w:rsidRDefault="006C5F50" w:rsidP="0086605D">
      <w:pPr>
        <w:spacing w:before="240" w:line="276" w:lineRule="auto"/>
        <w:jc w:val="both"/>
        <w:rPr>
          <w:rFonts w:asciiTheme="minorHAnsi" w:hAnsiTheme="minorHAnsi"/>
          <w:sz w:val="22"/>
          <w:szCs w:val="22"/>
          <w:lang w:val="en-GB"/>
        </w:rPr>
      </w:pPr>
      <w:r w:rsidRPr="000A6B0A">
        <w:rPr>
          <w:rFonts w:asciiTheme="minorHAnsi" w:hAnsiTheme="minorHAnsi"/>
          <w:sz w:val="22"/>
          <w:szCs w:val="22"/>
          <w:lang w:val="en-GB"/>
        </w:rPr>
        <w:t>The basic charge may be increased during periods of congestion on a particular rail line or its section with insufficient capacity.</w:t>
      </w:r>
    </w:p>
    <w:p w:rsidR="00C417E1" w:rsidRDefault="00C417E1" w:rsidP="0086605D">
      <w:pPr>
        <w:spacing w:before="240" w:line="276" w:lineRule="auto"/>
        <w:jc w:val="both"/>
        <w:rPr>
          <w:rFonts w:asciiTheme="minorHAnsi" w:hAnsiTheme="minorHAnsi"/>
          <w:sz w:val="22"/>
          <w:szCs w:val="22"/>
          <w:lang w:val="en-GB"/>
        </w:rPr>
      </w:pPr>
      <w:r>
        <w:rPr>
          <w:rFonts w:asciiTheme="minorHAnsi" w:hAnsiTheme="minorHAnsi"/>
          <w:sz w:val="22"/>
          <w:szCs w:val="22"/>
          <w:lang w:val="en-GB"/>
        </w:rPr>
        <w:t>The IM may increase the basic charge, if it p</w:t>
      </w:r>
      <w:r w:rsidR="00A01436">
        <w:rPr>
          <w:rFonts w:asciiTheme="minorHAnsi" w:hAnsiTheme="minorHAnsi"/>
          <w:sz w:val="22"/>
          <w:szCs w:val="22"/>
          <w:lang w:val="en-GB"/>
        </w:rPr>
        <w:t xml:space="preserve">roves that the expenditure has </w:t>
      </w:r>
      <w:r>
        <w:rPr>
          <w:rFonts w:asciiTheme="minorHAnsi" w:hAnsiTheme="minorHAnsi"/>
          <w:sz w:val="22"/>
          <w:szCs w:val="22"/>
          <w:lang w:val="en-GB"/>
        </w:rPr>
        <w:t>been incurred in made to:</w:t>
      </w:r>
    </w:p>
    <w:p w:rsidR="00C417E1" w:rsidRDefault="00C417E1" w:rsidP="0086605D">
      <w:pPr>
        <w:numPr>
          <w:ilvl w:val="0"/>
          <w:numId w:val="40"/>
        </w:numPr>
        <w:tabs>
          <w:tab w:val="clear" w:pos="360"/>
          <w:tab w:val="num" w:pos="1080"/>
        </w:tabs>
        <w:spacing w:line="276" w:lineRule="auto"/>
        <w:ind w:left="1080"/>
        <w:jc w:val="both"/>
        <w:rPr>
          <w:rFonts w:asciiTheme="minorHAnsi" w:hAnsiTheme="minorHAnsi"/>
          <w:sz w:val="22"/>
          <w:szCs w:val="22"/>
          <w:lang w:val="en-GB"/>
        </w:rPr>
      </w:pPr>
      <w:r>
        <w:rPr>
          <w:rFonts w:asciiTheme="minorHAnsi" w:hAnsiTheme="minorHAnsi"/>
          <w:sz w:val="22"/>
          <w:szCs w:val="22"/>
          <w:lang w:val="en-GB"/>
        </w:rPr>
        <w:t>improve insufficient capacity of a particular line, or;</w:t>
      </w:r>
    </w:p>
    <w:p w:rsidR="00C417E1" w:rsidRDefault="00C417E1" w:rsidP="0086605D">
      <w:pPr>
        <w:numPr>
          <w:ilvl w:val="0"/>
          <w:numId w:val="40"/>
        </w:numPr>
        <w:tabs>
          <w:tab w:val="clear" w:pos="360"/>
          <w:tab w:val="num" w:pos="1080"/>
        </w:tabs>
        <w:spacing w:line="276" w:lineRule="auto"/>
        <w:ind w:left="1080"/>
        <w:jc w:val="both"/>
        <w:rPr>
          <w:rFonts w:asciiTheme="minorHAnsi" w:hAnsiTheme="minorHAnsi"/>
          <w:sz w:val="22"/>
          <w:szCs w:val="22"/>
          <w:lang w:val="en-GB"/>
        </w:rPr>
      </w:pPr>
      <w:r>
        <w:rPr>
          <w:rFonts w:asciiTheme="minorHAnsi" w:hAnsiTheme="minorHAnsi"/>
          <w:sz w:val="22"/>
          <w:szCs w:val="22"/>
          <w:lang w:val="en-GB"/>
        </w:rPr>
        <w:t>avoid negative impact of rail traffic on the environment, provided that the increase in charges will be comparable to those used by the competing modes of transport.</w:t>
      </w:r>
    </w:p>
    <w:p w:rsidR="00C417E1" w:rsidRDefault="00C417E1" w:rsidP="0086605D">
      <w:pPr>
        <w:spacing w:before="240" w:line="276" w:lineRule="auto"/>
        <w:jc w:val="both"/>
        <w:rPr>
          <w:rFonts w:asciiTheme="minorHAnsi" w:hAnsiTheme="minorHAnsi"/>
          <w:sz w:val="22"/>
          <w:szCs w:val="22"/>
          <w:lang w:val="en-GB"/>
        </w:rPr>
      </w:pPr>
      <w:r>
        <w:rPr>
          <w:rFonts w:asciiTheme="minorHAnsi" w:hAnsiTheme="minorHAnsi"/>
          <w:sz w:val="22"/>
          <w:szCs w:val="22"/>
          <w:lang w:val="en-GB"/>
        </w:rPr>
        <w:t>The IM may grant discount on the basic charge. Discounts may be granted for a limited time and on a particular section of the infrastructure:</w:t>
      </w:r>
    </w:p>
    <w:p w:rsidR="00C417E1" w:rsidRDefault="00C417E1" w:rsidP="0086605D">
      <w:pPr>
        <w:numPr>
          <w:ilvl w:val="0"/>
          <w:numId w:val="40"/>
        </w:numPr>
        <w:tabs>
          <w:tab w:val="clear" w:pos="360"/>
          <w:tab w:val="num" w:pos="1080"/>
        </w:tabs>
        <w:spacing w:line="276" w:lineRule="auto"/>
        <w:ind w:left="1080"/>
        <w:jc w:val="both"/>
        <w:rPr>
          <w:rFonts w:asciiTheme="minorHAnsi" w:hAnsiTheme="minorHAnsi"/>
          <w:sz w:val="22"/>
          <w:szCs w:val="22"/>
          <w:lang w:val="en-GB"/>
        </w:rPr>
      </w:pPr>
      <w:r>
        <w:rPr>
          <w:rFonts w:asciiTheme="minorHAnsi" w:hAnsiTheme="minorHAnsi"/>
          <w:sz w:val="22"/>
          <w:szCs w:val="22"/>
          <w:lang w:val="en-GB"/>
        </w:rPr>
        <w:t>to develop new rail services;</w:t>
      </w:r>
    </w:p>
    <w:p w:rsidR="00C417E1" w:rsidRDefault="00C417E1" w:rsidP="0086605D">
      <w:pPr>
        <w:numPr>
          <w:ilvl w:val="0"/>
          <w:numId w:val="40"/>
        </w:numPr>
        <w:tabs>
          <w:tab w:val="clear" w:pos="360"/>
          <w:tab w:val="num" w:pos="1080"/>
        </w:tabs>
        <w:spacing w:line="276" w:lineRule="auto"/>
        <w:ind w:left="1080"/>
        <w:jc w:val="both"/>
        <w:rPr>
          <w:rFonts w:asciiTheme="minorHAnsi" w:hAnsiTheme="minorHAnsi"/>
          <w:sz w:val="22"/>
          <w:szCs w:val="22"/>
          <w:lang w:val="en-GB"/>
        </w:rPr>
      </w:pPr>
      <w:r>
        <w:rPr>
          <w:rFonts w:asciiTheme="minorHAnsi" w:hAnsiTheme="minorHAnsi"/>
          <w:sz w:val="22"/>
          <w:szCs w:val="22"/>
          <w:lang w:val="en-GB"/>
        </w:rPr>
        <w:t>in order to use the railways with a significant unused capacity, or;</w:t>
      </w:r>
    </w:p>
    <w:p w:rsidR="00C417E1" w:rsidRDefault="00C417E1" w:rsidP="0086605D">
      <w:pPr>
        <w:numPr>
          <w:ilvl w:val="0"/>
          <w:numId w:val="40"/>
        </w:numPr>
        <w:tabs>
          <w:tab w:val="clear" w:pos="360"/>
          <w:tab w:val="num" w:pos="1080"/>
        </w:tabs>
        <w:spacing w:line="276" w:lineRule="auto"/>
        <w:ind w:left="1080"/>
        <w:jc w:val="both"/>
        <w:rPr>
          <w:rFonts w:asciiTheme="minorHAnsi" w:hAnsiTheme="minorHAnsi"/>
          <w:sz w:val="22"/>
          <w:szCs w:val="22"/>
          <w:lang w:val="en-GB"/>
        </w:rPr>
      </w:pPr>
      <w:r>
        <w:rPr>
          <w:rFonts w:asciiTheme="minorHAnsi" w:hAnsiTheme="minorHAnsi"/>
          <w:sz w:val="22"/>
          <w:szCs w:val="22"/>
          <w:lang w:val="en-GB"/>
        </w:rPr>
        <w:t>if the savings have been made in the management of railway infrastructure by the IM.</w:t>
      </w:r>
    </w:p>
    <w:p w:rsidR="006C5F50" w:rsidRPr="000A6B0A" w:rsidRDefault="006C5F50" w:rsidP="006C5F50">
      <w:pPr>
        <w:pStyle w:val="Paragraphedeliste"/>
        <w:spacing w:before="240"/>
        <w:ind w:left="1440"/>
        <w:jc w:val="both"/>
        <w:rPr>
          <w:rFonts w:asciiTheme="minorHAnsi" w:hAnsiTheme="minorHAnsi"/>
          <w:sz w:val="22"/>
          <w:szCs w:val="22"/>
          <w:lang w:val="en-GB"/>
        </w:rPr>
      </w:pP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59"/>
        <w:gridCol w:w="2637"/>
        <w:gridCol w:w="2921"/>
      </w:tblGrid>
      <w:tr w:rsidR="006C5F50" w:rsidRPr="000A6B0A" w:rsidTr="00E7439D">
        <w:trPr>
          <w:jc w:val="center"/>
        </w:trPr>
        <w:tc>
          <w:tcPr>
            <w:tcW w:w="1417" w:type="dxa"/>
            <w:shd w:val="clear" w:color="auto" w:fill="808080"/>
            <w:vAlign w:val="center"/>
          </w:tcPr>
          <w:p w:rsidR="006C5F50" w:rsidRPr="000A6B0A" w:rsidRDefault="006C5F50"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559" w:type="dxa"/>
            <w:shd w:val="clear" w:color="auto" w:fill="7F7F7F" w:themeFill="text1" w:themeFillTint="80"/>
            <w:vAlign w:val="center"/>
          </w:tcPr>
          <w:p w:rsidR="006C5F50" w:rsidRPr="000A6B0A" w:rsidRDefault="006C5F50"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637" w:type="dxa"/>
            <w:shd w:val="clear" w:color="auto" w:fill="808080"/>
            <w:vAlign w:val="center"/>
          </w:tcPr>
          <w:p w:rsidR="006C5F50" w:rsidRPr="000A6B0A" w:rsidRDefault="006C5F50"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921" w:type="dxa"/>
            <w:shd w:val="clear" w:color="auto" w:fill="808080"/>
            <w:vAlign w:val="center"/>
          </w:tcPr>
          <w:p w:rsidR="006C5F50" w:rsidRPr="000A6B0A" w:rsidRDefault="006C5F50"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6C5F50" w:rsidRPr="00C54CEB" w:rsidTr="00A17B87">
        <w:trPr>
          <w:jc w:val="center"/>
        </w:trPr>
        <w:tc>
          <w:tcPr>
            <w:tcW w:w="1417" w:type="dxa"/>
            <w:vAlign w:val="center"/>
          </w:tcPr>
          <w:p w:rsidR="006C5F50" w:rsidRPr="000A6B0A" w:rsidRDefault="006C5F50"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Operating charge</w:t>
            </w:r>
          </w:p>
          <w:p w:rsidR="006C5F50" w:rsidRPr="000A6B0A" w:rsidRDefault="006C5F50">
            <w:pPr>
              <w:jc w:val="center"/>
              <w:rPr>
                <w:rFonts w:asciiTheme="minorHAnsi" w:hAnsiTheme="minorHAnsi" w:cs="Calibri"/>
                <w:b/>
                <w:spacing w:val="-2"/>
                <w:sz w:val="20"/>
                <w:szCs w:val="20"/>
                <w:lang w:val="en-GB" w:eastAsia="de-CH"/>
              </w:rPr>
            </w:pPr>
          </w:p>
        </w:tc>
        <w:tc>
          <w:tcPr>
            <w:tcW w:w="1559" w:type="dxa"/>
            <w:vAlign w:val="center"/>
          </w:tcPr>
          <w:p w:rsidR="006C5F50" w:rsidRPr="000A6B0A" w:rsidRDefault="00A17B87"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PLN/ train.</w:t>
            </w:r>
            <w:r w:rsidR="006C5F50" w:rsidRPr="000A6B0A">
              <w:rPr>
                <w:rFonts w:asciiTheme="minorHAnsi" w:hAnsiTheme="minorHAnsi" w:cs="Calibri"/>
                <w:spacing w:val="-2"/>
                <w:sz w:val="20"/>
                <w:lang w:val="en-GB"/>
              </w:rPr>
              <w:t xml:space="preserve"> </w:t>
            </w:r>
            <w:r w:rsidRPr="000A6B0A">
              <w:rPr>
                <w:rFonts w:asciiTheme="minorHAnsi" w:hAnsiTheme="minorHAnsi" w:cs="Calibri"/>
                <w:spacing w:val="-2"/>
                <w:sz w:val="20"/>
                <w:lang w:val="en-GB"/>
              </w:rPr>
              <w:t>k</w:t>
            </w:r>
            <w:r w:rsidR="006C5F50" w:rsidRPr="000A6B0A">
              <w:rPr>
                <w:rFonts w:asciiTheme="minorHAnsi" w:hAnsiTheme="minorHAnsi" w:cs="Calibri"/>
                <w:spacing w:val="-2"/>
                <w:sz w:val="20"/>
                <w:lang w:val="en-GB"/>
              </w:rPr>
              <w:t>m</w:t>
            </w:r>
          </w:p>
        </w:tc>
        <w:tc>
          <w:tcPr>
            <w:tcW w:w="2637" w:type="dxa"/>
            <w:vAlign w:val="center"/>
          </w:tcPr>
          <w:p w:rsidR="00A17B87" w:rsidRPr="000A6B0A" w:rsidRDefault="00A17B87" w:rsidP="0086605D">
            <w:pPr>
              <w:pStyle w:val="Tabellentextrechts"/>
              <w:spacing w:before="0" w:after="0"/>
              <w:jc w:val="left"/>
              <w:rPr>
                <w:rFonts w:asciiTheme="minorHAnsi" w:hAnsiTheme="minorHAnsi"/>
                <w:sz w:val="20"/>
                <w:lang w:val="en-GB"/>
              </w:rPr>
            </w:pPr>
            <w:r w:rsidRPr="000A6B0A">
              <w:rPr>
                <w:rFonts w:asciiTheme="minorHAnsi" w:hAnsiTheme="minorHAnsi"/>
                <w:sz w:val="20"/>
                <w:lang w:val="en-GB"/>
              </w:rPr>
              <w:t xml:space="preserve">- </w:t>
            </w:r>
            <w:r w:rsidR="006C5F50" w:rsidRPr="000A6B0A">
              <w:rPr>
                <w:rFonts w:asciiTheme="minorHAnsi" w:hAnsiTheme="minorHAnsi"/>
                <w:sz w:val="20"/>
                <w:lang w:val="en-GB"/>
              </w:rPr>
              <w:t>Freight/passengers services</w:t>
            </w:r>
          </w:p>
          <w:p w:rsidR="00A17B87" w:rsidRPr="000A6B0A" w:rsidRDefault="00A17B87" w:rsidP="0086605D">
            <w:pPr>
              <w:pStyle w:val="Tabellentextrechts"/>
              <w:spacing w:before="0" w:after="0"/>
              <w:jc w:val="left"/>
              <w:rPr>
                <w:rFonts w:asciiTheme="minorHAnsi" w:hAnsiTheme="minorHAnsi"/>
                <w:sz w:val="20"/>
                <w:lang w:val="en-GB"/>
              </w:rPr>
            </w:pPr>
            <w:r w:rsidRPr="000A6B0A">
              <w:rPr>
                <w:rFonts w:asciiTheme="minorHAnsi" w:hAnsiTheme="minorHAnsi"/>
                <w:sz w:val="20"/>
                <w:lang w:val="en-GB"/>
              </w:rPr>
              <w:t xml:space="preserve">- </w:t>
            </w:r>
            <w:r w:rsidR="006C5F50" w:rsidRPr="000A6B0A">
              <w:rPr>
                <w:rFonts w:asciiTheme="minorHAnsi" w:hAnsiTheme="minorHAnsi"/>
                <w:sz w:val="20"/>
                <w:lang w:val="en-GB"/>
              </w:rPr>
              <w:t>Weight categories of trains 16 for passengers services, 37 for freight services)</w:t>
            </w:r>
          </w:p>
          <w:p w:rsidR="006C5F50" w:rsidRPr="000A6B0A" w:rsidRDefault="00A17B87" w:rsidP="0086605D">
            <w:pPr>
              <w:pStyle w:val="Tabellentextrechts"/>
              <w:spacing w:before="0" w:after="0"/>
              <w:jc w:val="left"/>
              <w:rPr>
                <w:rFonts w:asciiTheme="minorHAnsi" w:hAnsiTheme="minorHAnsi"/>
                <w:sz w:val="20"/>
                <w:lang w:val="en-GB"/>
              </w:rPr>
            </w:pPr>
            <w:r w:rsidRPr="000A6B0A">
              <w:rPr>
                <w:rFonts w:asciiTheme="minorHAnsi" w:hAnsiTheme="minorHAnsi"/>
                <w:sz w:val="20"/>
                <w:lang w:val="en-GB"/>
              </w:rPr>
              <w:t>- Line categories (5)</w:t>
            </w:r>
          </w:p>
        </w:tc>
        <w:tc>
          <w:tcPr>
            <w:tcW w:w="2921" w:type="dxa"/>
            <w:vAlign w:val="center"/>
          </w:tcPr>
          <w:p w:rsidR="00A17B87" w:rsidRPr="000A6B0A" w:rsidRDefault="00A17B87"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 xml:space="preserve">The costs directly incurred, </w:t>
            </w:r>
            <w:r w:rsidRPr="000A6B0A">
              <w:rPr>
                <w:rFonts w:asciiTheme="minorHAnsi" w:hAnsiTheme="minorHAnsi"/>
                <w:i/>
                <w:sz w:val="20"/>
                <w:lang w:val="en-GB"/>
              </w:rPr>
              <w:t>i.e.</w:t>
            </w:r>
            <w:r w:rsidR="0024112B" w:rsidRPr="000A6B0A">
              <w:rPr>
                <w:rFonts w:asciiTheme="minorHAnsi" w:hAnsiTheme="minorHAnsi"/>
                <w:i/>
                <w:sz w:val="20"/>
                <w:lang w:val="en-GB"/>
              </w:rPr>
              <w:t xml:space="preserve"> </w:t>
            </w:r>
            <w:r w:rsidR="006C5F50" w:rsidRPr="000A6B0A">
              <w:rPr>
                <w:rFonts w:asciiTheme="minorHAnsi" w:hAnsiTheme="minorHAnsi"/>
                <w:sz w:val="20"/>
                <w:lang w:val="en-GB"/>
              </w:rPr>
              <w:t>the part of the costs of:</w:t>
            </w:r>
          </w:p>
          <w:p w:rsidR="00A17B87" w:rsidRPr="000A6B0A" w:rsidRDefault="00A17B87"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 maintenance and renewal;</w:t>
            </w:r>
          </w:p>
          <w:p w:rsidR="00A17B87" w:rsidRPr="000A6B0A" w:rsidRDefault="00A17B87"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 rail traffic management;</w:t>
            </w:r>
          </w:p>
          <w:p w:rsidR="006C5F50" w:rsidRPr="000A6B0A" w:rsidRDefault="00A17B87"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 xml:space="preserve">- </w:t>
            </w:r>
            <w:r w:rsidR="006C5F50" w:rsidRPr="000A6B0A">
              <w:rPr>
                <w:rFonts w:asciiTheme="minorHAnsi" w:hAnsiTheme="minorHAnsi"/>
                <w:sz w:val="20"/>
                <w:lang w:val="en-GB"/>
              </w:rPr>
              <w:t>depreciation, if it is determined on the basis of the actual wear of the infrastructure attributable to traffic</w:t>
            </w:r>
          </w:p>
          <w:p w:rsidR="006C5F50" w:rsidRPr="000A6B0A" w:rsidRDefault="006C5F50" w:rsidP="0086605D">
            <w:pPr>
              <w:pStyle w:val="Tabellentextrechts"/>
              <w:spacing w:before="0" w:after="0"/>
              <w:jc w:val="center"/>
              <w:rPr>
                <w:rFonts w:asciiTheme="minorHAnsi" w:hAnsiTheme="minorHAnsi" w:cs="Calibri"/>
                <w:spacing w:val="-2"/>
                <w:sz w:val="20"/>
                <w:lang w:val="en-GB"/>
              </w:rPr>
            </w:pPr>
          </w:p>
        </w:tc>
      </w:tr>
      <w:tr w:rsidR="006C5F50" w:rsidRPr="00C54CEB" w:rsidTr="00A17B87">
        <w:trPr>
          <w:jc w:val="center"/>
        </w:trPr>
        <w:tc>
          <w:tcPr>
            <w:tcW w:w="1417" w:type="dxa"/>
            <w:vAlign w:val="center"/>
          </w:tcPr>
          <w:p w:rsidR="006C5F50" w:rsidRPr="000A6B0A" w:rsidRDefault="006C5F50">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Reservation/</w:t>
            </w:r>
          </w:p>
          <w:p w:rsidR="006C5F50" w:rsidRPr="000A6B0A" w:rsidRDefault="006C5F50">
            <w:pPr>
              <w:jc w:val="center"/>
              <w:rPr>
                <w:rFonts w:asciiTheme="minorHAnsi" w:hAnsiTheme="minorHAnsi" w:cs="Calibri"/>
                <w:b/>
                <w:sz w:val="20"/>
                <w:lang w:val="en-GB"/>
              </w:rPr>
            </w:pPr>
            <w:r w:rsidRPr="000A6B0A">
              <w:rPr>
                <w:rFonts w:asciiTheme="minorHAnsi" w:hAnsiTheme="minorHAnsi" w:cs="Calibri"/>
                <w:b/>
                <w:sz w:val="20"/>
                <w:szCs w:val="20"/>
                <w:lang w:val="en-GB" w:eastAsia="de-CH"/>
              </w:rPr>
              <w:t>Cancellation</w:t>
            </w:r>
          </w:p>
          <w:p w:rsidR="006C5F50" w:rsidRPr="000A6B0A" w:rsidRDefault="006C5F50">
            <w:pPr>
              <w:jc w:val="center"/>
              <w:rPr>
                <w:rFonts w:asciiTheme="minorHAnsi" w:hAnsiTheme="minorHAnsi" w:cs="Calibri"/>
                <w:b/>
                <w:sz w:val="20"/>
                <w:lang w:val="en-GB"/>
              </w:rPr>
            </w:pPr>
            <w:r w:rsidRPr="000A6B0A">
              <w:rPr>
                <w:rFonts w:asciiTheme="minorHAnsi" w:hAnsiTheme="minorHAnsi" w:cs="Calibri"/>
                <w:b/>
                <w:sz w:val="20"/>
                <w:lang w:val="en-GB"/>
              </w:rPr>
              <w:t>Charge</w:t>
            </w:r>
          </w:p>
        </w:tc>
        <w:tc>
          <w:tcPr>
            <w:tcW w:w="1559" w:type="dxa"/>
            <w:vAlign w:val="center"/>
          </w:tcPr>
          <w:p w:rsidR="006C5F50" w:rsidRPr="000A6B0A" w:rsidRDefault="006C5F50"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 charge</w:t>
            </w:r>
          </w:p>
        </w:tc>
        <w:tc>
          <w:tcPr>
            <w:tcW w:w="2637" w:type="dxa"/>
            <w:vAlign w:val="center"/>
          </w:tcPr>
          <w:p w:rsidR="006C5F50" w:rsidRPr="000A6B0A" w:rsidRDefault="006C5F50" w:rsidP="0086605D">
            <w:pPr>
              <w:pStyle w:val="Tabellentextrechts"/>
              <w:spacing w:before="0" w:after="0"/>
              <w:jc w:val="center"/>
              <w:rPr>
                <w:rFonts w:asciiTheme="minorHAnsi" w:hAnsiTheme="minorHAnsi"/>
                <w:sz w:val="20"/>
                <w:lang w:val="en-GB"/>
              </w:rPr>
            </w:pPr>
          </w:p>
        </w:tc>
        <w:tc>
          <w:tcPr>
            <w:tcW w:w="2921" w:type="dxa"/>
            <w:vAlign w:val="center"/>
          </w:tcPr>
          <w:p w:rsidR="006C5F50" w:rsidRPr="000A6B0A" w:rsidRDefault="006C5F50"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Depend</w:t>
            </w:r>
            <w:r w:rsidR="00A17B87" w:rsidRPr="000A6B0A">
              <w:rPr>
                <w:rFonts w:asciiTheme="minorHAnsi" w:hAnsiTheme="minorHAnsi"/>
                <w:sz w:val="20"/>
                <w:lang w:val="en-GB"/>
              </w:rPr>
              <w:t>s on the term of cancellation</w:t>
            </w:r>
          </w:p>
        </w:tc>
      </w:tr>
      <w:tr w:rsidR="006C5F50" w:rsidRPr="00C54CEB" w:rsidTr="003262BF">
        <w:trPr>
          <w:jc w:val="center"/>
        </w:trPr>
        <w:tc>
          <w:tcPr>
            <w:tcW w:w="5613" w:type="dxa"/>
            <w:gridSpan w:val="3"/>
            <w:vAlign w:val="center"/>
          </w:tcPr>
          <w:p w:rsidR="006C5F50" w:rsidRPr="000A6B0A" w:rsidRDefault="006C5F50" w:rsidP="0086605D">
            <w:pPr>
              <w:pStyle w:val="Tabellentextrechts"/>
              <w:spacing w:before="0" w:after="0"/>
              <w:jc w:val="center"/>
              <w:rPr>
                <w:rFonts w:asciiTheme="minorHAnsi" w:hAnsiTheme="minorHAnsi"/>
                <w:sz w:val="20"/>
                <w:lang w:val="en-GB"/>
              </w:rPr>
            </w:pPr>
            <w:r w:rsidRPr="000A6B0A">
              <w:rPr>
                <w:rFonts w:asciiTheme="minorHAnsi" w:hAnsiTheme="minorHAnsi" w:cs="Calibri"/>
                <w:b/>
                <w:sz w:val="20"/>
                <w:lang w:val="en-GB"/>
              </w:rPr>
              <w:t>The additional charges</w:t>
            </w:r>
          </w:p>
        </w:tc>
        <w:tc>
          <w:tcPr>
            <w:tcW w:w="2921" w:type="dxa"/>
            <w:vAlign w:val="center"/>
          </w:tcPr>
          <w:p w:rsidR="006C5F50" w:rsidRPr="000A6B0A" w:rsidRDefault="006C5F50" w:rsidP="0086605D">
            <w:pPr>
              <w:pStyle w:val="Tabellentextrechts"/>
              <w:spacing w:before="0" w:after="0"/>
              <w:jc w:val="center"/>
              <w:rPr>
                <w:rFonts w:asciiTheme="minorHAnsi" w:hAnsiTheme="minorHAnsi"/>
                <w:sz w:val="20"/>
                <w:lang w:val="en-GB"/>
              </w:rPr>
            </w:pPr>
            <w:r w:rsidRPr="000A6B0A">
              <w:rPr>
                <w:rFonts w:asciiTheme="minorHAnsi" w:hAnsiTheme="minorHAnsi"/>
                <w:sz w:val="20"/>
                <w:lang w:val="en-GB"/>
              </w:rPr>
              <w:t>The additional charges shall be determined on the same basis for all carriers, so as to ensure the financing of the costs which the IM will have to bear providing the expected range of available railway infrastructure, plus a margin of not more than 10%.</w:t>
            </w:r>
          </w:p>
        </w:tc>
      </w:tr>
    </w:tbl>
    <w:p w:rsidR="006C5F50" w:rsidRPr="000A6B0A" w:rsidRDefault="006C5F50" w:rsidP="006C5F50">
      <w:pPr>
        <w:pStyle w:val="Tabellentextrechts"/>
        <w:jc w:val="both"/>
        <w:rPr>
          <w:rFonts w:asciiTheme="minorHAnsi" w:hAnsiTheme="minorHAnsi" w:cs="Arial"/>
          <w:sz w:val="22"/>
          <w:szCs w:val="22"/>
          <w:lang w:val="en-GB" w:eastAsia="nl-NL"/>
        </w:rPr>
      </w:pPr>
    </w:p>
    <w:p w:rsidR="00C417E1" w:rsidRDefault="00C417E1" w:rsidP="0086605D">
      <w:pPr>
        <w:pStyle w:val="Tabellentextrechts"/>
        <w:spacing w:line="276" w:lineRule="auto"/>
        <w:jc w:val="both"/>
        <w:rPr>
          <w:rFonts w:asciiTheme="minorHAnsi" w:hAnsiTheme="minorHAnsi" w:cs="Arial"/>
          <w:sz w:val="22"/>
          <w:szCs w:val="22"/>
          <w:lang w:val="en-GB" w:eastAsia="nl-NL"/>
        </w:rPr>
      </w:pPr>
      <w:r>
        <w:rPr>
          <w:rFonts w:asciiTheme="minorHAnsi" w:hAnsiTheme="minorHAnsi" w:cs="Arial"/>
          <w:sz w:val="22"/>
          <w:szCs w:val="22"/>
          <w:lang w:val="en-GB" w:eastAsia="nl-NL"/>
        </w:rPr>
        <w:t>The IM can levy higher charges (excluding transport for which the minimum unit rate basic charge is used and transport dependent on public funding), if the market can bear it i.e. in the case it has been established that the increased charge does not result in a shift to road transport. The IM undertakes ‘market can bear tests’ no less than once every three years, taking into account the division of the market into at least the following pairs of types of services:</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passenger services/freight services;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regional passenger service/ sub</w:t>
      </w:r>
      <w:r w:rsidR="00A56CA1">
        <w:rPr>
          <w:rFonts w:asciiTheme="minorHAnsi" w:hAnsiTheme="minorHAnsi" w:cs="Arial"/>
          <w:sz w:val="22"/>
          <w:szCs w:val="22"/>
          <w:lang w:val="en-GB" w:eastAsia="nl-NL"/>
        </w:rPr>
        <w:t>-</w:t>
      </w:r>
      <w:r w:rsidRPr="000A6B0A">
        <w:rPr>
          <w:rFonts w:asciiTheme="minorHAnsi" w:hAnsiTheme="minorHAnsi" w:cs="Arial"/>
          <w:sz w:val="22"/>
          <w:szCs w:val="22"/>
          <w:lang w:val="en-GB" w:eastAsia="nl-NL"/>
        </w:rPr>
        <w:t>regional passenger service</w:t>
      </w:r>
      <w:r w:rsidR="00082371" w:rsidRPr="000A6B0A">
        <w:rPr>
          <w:rFonts w:asciiTheme="minorHAnsi" w:hAnsiTheme="minorHAnsi" w:cs="Arial"/>
          <w:sz w:val="22"/>
          <w:szCs w:val="22"/>
          <w:lang w:val="en-GB" w:eastAsia="nl-NL"/>
        </w:rPr>
        <w:t>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trains carrying dangerous goods /other freight trains;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domestic services /international services;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combined transport / direct trains;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block trains / single wagon load trains; </w:t>
      </w:r>
    </w:p>
    <w:p w:rsidR="006C5F50" w:rsidRPr="000A6B0A" w:rsidRDefault="006C5F50" w:rsidP="0086605D">
      <w:pPr>
        <w:pStyle w:val="CM4"/>
        <w:numPr>
          <w:ilvl w:val="0"/>
          <w:numId w:val="17"/>
        </w:numPr>
        <w:spacing w:before="60" w:after="60" w:line="276" w:lineRule="auto"/>
        <w:rPr>
          <w:rFonts w:asciiTheme="minorHAnsi" w:hAnsiTheme="minorHAnsi" w:cs="Arial"/>
          <w:sz w:val="22"/>
          <w:szCs w:val="22"/>
          <w:lang w:val="en-GB" w:eastAsia="nl-NL"/>
        </w:rPr>
      </w:pPr>
      <w:r w:rsidRPr="000A6B0A">
        <w:rPr>
          <w:rFonts w:asciiTheme="minorHAnsi" w:hAnsiTheme="minorHAnsi" w:cs="Arial"/>
          <w:sz w:val="22"/>
          <w:szCs w:val="22"/>
          <w:lang w:val="en-GB" w:eastAsia="nl-NL"/>
        </w:rPr>
        <w:t xml:space="preserve">regular </w:t>
      </w:r>
      <w:r w:rsidR="00C15D0C">
        <w:rPr>
          <w:rFonts w:asciiTheme="minorHAnsi" w:hAnsiTheme="minorHAnsi" w:cs="Arial"/>
          <w:sz w:val="22"/>
          <w:szCs w:val="22"/>
          <w:lang w:val="en-GB" w:eastAsia="nl-NL"/>
        </w:rPr>
        <w:t>tr</w:t>
      </w:r>
      <w:r w:rsidR="00C15D0C" w:rsidRPr="000A6B0A">
        <w:rPr>
          <w:rFonts w:asciiTheme="minorHAnsi" w:hAnsiTheme="minorHAnsi" w:cs="Arial"/>
          <w:sz w:val="22"/>
          <w:szCs w:val="22"/>
          <w:lang w:val="en-GB" w:eastAsia="nl-NL"/>
        </w:rPr>
        <w:t>ain</w:t>
      </w:r>
      <w:r w:rsidRPr="000A6B0A">
        <w:rPr>
          <w:rFonts w:asciiTheme="minorHAnsi" w:hAnsiTheme="minorHAnsi" w:cs="Arial"/>
          <w:sz w:val="22"/>
          <w:szCs w:val="22"/>
          <w:lang w:val="en-GB" w:eastAsia="nl-NL"/>
        </w:rPr>
        <w:t xml:space="preserve"> services / occasional train services. </w:t>
      </w: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E7439D" w:rsidRPr="000A6B0A" w:rsidRDefault="00E7439D" w:rsidP="00E7439D">
      <w:pPr>
        <w:pStyle w:val="Titre1"/>
        <w:numPr>
          <w:ilvl w:val="1"/>
          <w:numId w:val="13"/>
        </w:numPr>
        <w:spacing w:line="276" w:lineRule="auto"/>
        <w:jc w:val="both"/>
        <w:rPr>
          <w:rFonts w:asciiTheme="minorHAnsi" w:hAnsiTheme="minorHAnsi"/>
          <w:sz w:val="22"/>
          <w:szCs w:val="22"/>
          <w:lang w:val="en-GB"/>
        </w:rPr>
      </w:pPr>
      <w:r>
        <w:rPr>
          <w:lang w:val="en-GB"/>
        </w:rPr>
        <w:br w:type="page"/>
      </w:r>
      <w:bookmarkStart w:id="83" w:name="_Toc496279035"/>
      <w:r>
        <w:rPr>
          <w:rFonts w:asciiTheme="minorHAnsi" w:hAnsiTheme="minorHAnsi"/>
          <w:sz w:val="22"/>
          <w:szCs w:val="22"/>
          <w:lang w:val="en-GB"/>
        </w:rPr>
        <w:lastRenderedPageBreak/>
        <w:t>Portugal</w:t>
      </w:r>
      <w:bookmarkEnd w:id="83"/>
    </w:p>
    <w:p w:rsidR="006C5F50" w:rsidRDefault="006C5F50" w:rsidP="006C5F50">
      <w:pPr>
        <w:rPr>
          <w:lang w:val="en-US"/>
        </w:rPr>
      </w:pPr>
    </w:p>
    <w:p w:rsidR="00E7439D" w:rsidRPr="00E7439D" w:rsidRDefault="00E7439D" w:rsidP="0086605D">
      <w:pPr>
        <w:autoSpaceDE w:val="0"/>
        <w:autoSpaceDN w:val="0"/>
        <w:adjustRightInd w:val="0"/>
        <w:spacing w:before="120" w:line="276" w:lineRule="auto"/>
        <w:jc w:val="both"/>
        <w:rPr>
          <w:rFonts w:asciiTheme="minorHAnsi" w:hAnsiTheme="minorHAnsi" w:cstheme="minorHAnsi"/>
          <w:sz w:val="22"/>
          <w:szCs w:val="22"/>
          <w:lang w:val="en-GB"/>
        </w:rPr>
      </w:pPr>
      <w:r w:rsidRPr="00E7439D">
        <w:rPr>
          <w:rFonts w:asciiTheme="minorHAnsi" w:hAnsiTheme="minorHAnsi" w:cstheme="minorHAnsi"/>
          <w:sz w:val="22"/>
          <w:szCs w:val="22"/>
          <w:lang w:val="en-GB"/>
        </w:rPr>
        <w:t xml:space="preserve">In Portugal, the IM </w:t>
      </w:r>
      <w:r w:rsidR="00C417E1">
        <w:rPr>
          <w:rFonts w:asciiTheme="minorHAnsi" w:hAnsiTheme="minorHAnsi" w:cstheme="minorHAnsi"/>
          <w:sz w:val="22"/>
          <w:szCs w:val="22"/>
          <w:lang w:val="en-GB"/>
        </w:rPr>
        <w:t>(</w:t>
      </w:r>
      <w:r w:rsidRPr="00E7439D">
        <w:rPr>
          <w:rFonts w:asciiTheme="minorHAnsi" w:hAnsiTheme="minorHAnsi" w:cstheme="minorHAnsi"/>
          <w:sz w:val="22"/>
          <w:szCs w:val="22"/>
          <w:lang w:val="en-GB"/>
        </w:rPr>
        <w:t>IP</w:t>
      </w:r>
      <w:r w:rsidRPr="00E7439D">
        <w:rPr>
          <w:rStyle w:val="Appelnotedebasdep"/>
          <w:rFonts w:asciiTheme="minorHAnsi" w:hAnsiTheme="minorHAnsi" w:cstheme="minorHAnsi"/>
          <w:sz w:val="22"/>
          <w:szCs w:val="22"/>
          <w:lang w:val="en-GB"/>
        </w:rPr>
        <w:footnoteReference w:id="90"/>
      </w:r>
      <w:r w:rsidR="00C417E1">
        <w:rPr>
          <w:rFonts w:asciiTheme="minorHAnsi" w:hAnsiTheme="minorHAnsi" w:cstheme="minorHAnsi"/>
          <w:sz w:val="22"/>
          <w:szCs w:val="22"/>
          <w:lang w:val="en-GB"/>
        </w:rPr>
        <w:t>)</w:t>
      </w:r>
      <w:r w:rsidRPr="00E7439D">
        <w:rPr>
          <w:rFonts w:asciiTheme="minorHAnsi" w:hAnsiTheme="minorHAnsi" w:cstheme="minorHAnsi"/>
          <w:sz w:val="22"/>
          <w:szCs w:val="22"/>
          <w:lang w:val="en-GB"/>
        </w:rPr>
        <w:t xml:space="preserve"> in addition to the daily management, maintenance and further development of the infrastructure, is also responsible for the control and the safety of all train traffic.</w:t>
      </w:r>
    </w:p>
    <w:p w:rsidR="00E7439D" w:rsidRPr="00E7439D" w:rsidRDefault="00E7439D" w:rsidP="0086605D">
      <w:pPr>
        <w:autoSpaceDE w:val="0"/>
        <w:autoSpaceDN w:val="0"/>
        <w:adjustRightInd w:val="0"/>
        <w:spacing w:before="120" w:line="276" w:lineRule="auto"/>
        <w:jc w:val="both"/>
        <w:rPr>
          <w:rFonts w:asciiTheme="minorHAnsi" w:hAnsiTheme="minorHAnsi" w:cstheme="minorHAnsi"/>
          <w:sz w:val="22"/>
          <w:szCs w:val="22"/>
          <w:lang w:val="en-GB"/>
        </w:rPr>
      </w:pPr>
      <w:r w:rsidRPr="00E7439D">
        <w:rPr>
          <w:rFonts w:asciiTheme="minorHAnsi" w:hAnsiTheme="minorHAnsi" w:cstheme="minorHAnsi"/>
          <w:sz w:val="22"/>
          <w:szCs w:val="22"/>
          <w:lang w:val="en-GB"/>
        </w:rPr>
        <w:t>According to Decree-Law No. 91/2015 of 29 May, IP aims at the design, construction, financing, maintenance, operation, rehabilitation, enlargement and modernization of road and rail national networks.</w:t>
      </w:r>
    </w:p>
    <w:p w:rsidR="00E7439D" w:rsidRPr="00E7439D" w:rsidRDefault="00E7439D" w:rsidP="0086605D">
      <w:pPr>
        <w:autoSpaceDE w:val="0"/>
        <w:autoSpaceDN w:val="0"/>
        <w:adjustRightInd w:val="0"/>
        <w:spacing w:before="120" w:line="276" w:lineRule="auto"/>
        <w:jc w:val="both"/>
        <w:rPr>
          <w:rFonts w:asciiTheme="minorHAnsi" w:hAnsiTheme="minorHAnsi" w:cstheme="minorHAnsi"/>
          <w:sz w:val="22"/>
          <w:szCs w:val="22"/>
          <w:lang w:val="en-GB"/>
        </w:rPr>
      </w:pPr>
      <w:r w:rsidRPr="00E7439D">
        <w:rPr>
          <w:rFonts w:asciiTheme="minorHAnsi" w:hAnsiTheme="minorHAnsi" w:cstheme="minorHAnsi"/>
          <w:sz w:val="22"/>
          <w:szCs w:val="22"/>
          <w:lang w:val="en-GB"/>
        </w:rPr>
        <w:t>The charging system implemented by IP should be in accordance with Directive 2012/34/EU transposed by Decree-law no. 217/2015. Charges for using the minimum access package correspond to the costs directly attributable to the operation of the rail service, as set in section 3 of article 31 of Decree-law 217/2015.</w:t>
      </w:r>
    </w:p>
    <w:p w:rsidR="00E7439D" w:rsidRPr="00E7439D" w:rsidRDefault="00E7439D" w:rsidP="0086605D">
      <w:pPr>
        <w:spacing w:before="120" w:line="276" w:lineRule="auto"/>
        <w:jc w:val="both"/>
        <w:rPr>
          <w:rFonts w:asciiTheme="minorHAnsi" w:hAnsiTheme="minorHAnsi" w:cstheme="minorHAnsi"/>
          <w:sz w:val="22"/>
          <w:szCs w:val="22"/>
          <w:lang w:val="en-GB"/>
        </w:rPr>
      </w:pPr>
      <w:r w:rsidRPr="00E7439D">
        <w:rPr>
          <w:rFonts w:asciiTheme="minorHAnsi" w:hAnsiTheme="minorHAnsi" w:cstheme="minorHAnsi"/>
          <w:sz w:val="22"/>
          <w:szCs w:val="22"/>
          <w:lang w:val="en-GB"/>
        </w:rPr>
        <w:t xml:space="preserve">The implementation of Regulation (EU) 2015/909 will most likely require changes in the charging system of the Portuguese IM. The charging system currently in use by the IM has been developed under Regulation IMTT 630/2011, issued by the former regulatory body pursuant to the former legal framework and is not completely in line with Directive 2012/34/EU and the cost methodologies introduced by Regulation 2015/909. </w:t>
      </w:r>
    </w:p>
    <w:p w:rsidR="00E7439D" w:rsidRPr="00E7439D" w:rsidRDefault="00E7439D" w:rsidP="0086605D">
      <w:pPr>
        <w:spacing w:before="120" w:line="276" w:lineRule="auto"/>
        <w:jc w:val="both"/>
        <w:rPr>
          <w:rFonts w:asciiTheme="minorHAnsi" w:hAnsiTheme="minorHAnsi" w:cstheme="minorHAnsi"/>
          <w:sz w:val="22"/>
          <w:szCs w:val="22"/>
          <w:lang w:val="en-GB"/>
        </w:rPr>
      </w:pPr>
      <w:r w:rsidRPr="00E7439D">
        <w:rPr>
          <w:rFonts w:asciiTheme="minorHAnsi" w:hAnsiTheme="minorHAnsi" w:cstheme="minorHAnsi"/>
          <w:sz w:val="22"/>
          <w:szCs w:val="22"/>
          <w:lang w:val="en-GB"/>
        </w:rPr>
        <w:t xml:space="preserve">The Portuguese IM is now in the process of analysing and redefining the charging model, so, the information stated bellow will change in a near future. </w:t>
      </w:r>
    </w:p>
    <w:p w:rsidR="00E7439D" w:rsidRPr="00E7439D" w:rsidRDefault="00E7439D" w:rsidP="00E7439D">
      <w:pPr>
        <w:spacing w:before="120"/>
        <w:jc w:val="both"/>
        <w:rPr>
          <w:rFonts w:asciiTheme="minorHAnsi" w:hAnsiTheme="minorHAnsi" w:cstheme="minorHAnsi"/>
          <w:sz w:val="22"/>
          <w:szCs w:val="22"/>
          <w:lang w:val="en-GB"/>
        </w:rPr>
      </w:pPr>
    </w:p>
    <w:tbl>
      <w:tblPr>
        <w:tblW w:w="8671" w:type="dxa"/>
        <w:tblInd w:w="250" w:type="dxa"/>
        <w:tblLook w:val="04A0" w:firstRow="1" w:lastRow="0" w:firstColumn="1" w:lastColumn="0" w:noHBand="0" w:noVBand="1"/>
      </w:tblPr>
      <w:tblGrid>
        <w:gridCol w:w="1375"/>
        <w:gridCol w:w="1375"/>
        <w:gridCol w:w="2671"/>
        <w:gridCol w:w="3250"/>
      </w:tblGrid>
      <w:tr w:rsidR="00E7439D" w:rsidTr="00E7439D">
        <w:trPr>
          <w:trHeight w:val="46"/>
        </w:trPr>
        <w:tc>
          <w:tcPr>
            <w:tcW w:w="1375" w:type="dxa"/>
            <w:tcBorders>
              <w:top w:val="single" w:sz="8" w:space="0" w:color="auto"/>
              <w:left w:val="single" w:sz="8" w:space="0" w:color="auto"/>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375"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671"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3250"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Access charge</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 xml:space="preserve">€/train.km </w:t>
            </w:r>
          </w:p>
        </w:tc>
        <w:tc>
          <w:tcPr>
            <w:tcW w:w="2671"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heme="minorHAnsi"/>
                <w:sz w:val="20"/>
                <w:szCs w:val="20"/>
                <w:lang w:val="en-GB"/>
              </w:rPr>
            </w:pPr>
            <w:r w:rsidRPr="00E7439D">
              <w:rPr>
                <w:rFonts w:asciiTheme="minorHAnsi" w:hAnsiTheme="minorHAnsi" w:cstheme="minorHAnsi"/>
                <w:sz w:val="20"/>
                <w:szCs w:val="20"/>
                <w:lang w:val="en-GB"/>
              </w:rPr>
              <w:t>Differentiation between freight and passenger trains</w:t>
            </w:r>
          </w:p>
        </w:tc>
        <w:tc>
          <w:tcPr>
            <w:tcW w:w="3250"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Costs directly incurred by train operations, for instance: maintenance and renewal, rail traffic management</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Cancellation Charge</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€/train.km</w:t>
            </w:r>
          </w:p>
        </w:tc>
        <w:tc>
          <w:tcPr>
            <w:tcW w:w="2671"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heme="minorHAnsi"/>
                <w:sz w:val="20"/>
                <w:szCs w:val="20"/>
                <w:lang w:val="en-GB"/>
              </w:rPr>
            </w:pPr>
            <w:r w:rsidRPr="00E7439D">
              <w:rPr>
                <w:rFonts w:asciiTheme="minorHAnsi" w:hAnsiTheme="minorHAnsi" w:cstheme="minorHAnsi"/>
                <w:sz w:val="20"/>
                <w:szCs w:val="20"/>
                <w:lang w:val="en-GB"/>
              </w:rPr>
              <w:t>In case of partial cancellation, only the unused path will be subjected to penalty</w:t>
            </w:r>
          </w:p>
        </w:tc>
        <w:tc>
          <w:tcPr>
            <w:tcW w:w="3250"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autoSpaceDE w:val="0"/>
              <w:autoSpaceDN w:val="0"/>
              <w:adjustRightInd w:val="0"/>
              <w:rPr>
                <w:rFonts w:asciiTheme="minorHAnsi" w:hAnsiTheme="minorHAnsi" w:cstheme="minorHAnsi"/>
                <w:sz w:val="20"/>
                <w:szCs w:val="20"/>
                <w:lang w:val="en-GB"/>
              </w:rPr>
            </w:pPr>
            <w:r w:rsidRPr="00E7439D">
              <w:rPr>
                <w:rFonts w:asciiTheme="minorHAnsi" w:hAnsiTheme="minorHAnsi" w:cstheme="minorHAnsi"/>
                <w:sz w:val="20"/>
                <w:szCs w:val="20"/>
                <w:lang w:val="en-GB"/>
              </w:rPr>
              <w:t>If, for a given Working Timetable, a railway undertaking will not use more than 5% of the requested</w:t>
            </w:r>
          </w:p>
          <w:p w:rsidR="00E7439D" w:rsidRPr="00E7439D" w:rsidRDefault="00E7439D">
            <w:pPr>
              <w:autoSpaceDE w:val="0"/>
              <w:autoSpaceDN w:val="0"/>
              <w:adjustRightInd w:val="0"/>
              <w:rPr>
                <w:rFonts w:asciiTheme="minorHAnsi" w:hAnsiTheme="minorHAnsi" w:cstheme="minorHAnsi"/>
                <w:sz w:val="20"/>
                <w:szCs w:val="20"/>
                <w:lang w:val="en-GB"/>
              </w:rPr>
            </w:pPr>
            <w:r w:rsidRPr="00E7439D">
              <w:rPr>
                <w:rFonts w:asciiTheme="minorHAnsi" w:hAnsiTheme="minorHAnsi" w:cstheme="minorHAnsi"/>
                <w:sz w:val="20"/>
                <w:szCs w:val="20"/>
                <w:lang w:val="en-GB"/>
              </w:rPr>
              <w:t>capacity, when it reaches this percentage, it will pay extra 5% over and above the defined tariff for every additional train-path it had requested and not-used, up to a maximum of 500% of the</w:t>
            </w:r>
          </w:p>
          <w:p w:rsidR="00E7439D" w:rsidRPr="00E7439D" w:rsidRDefault="00E7439D">
            <w:pPr>
              <w:autoSpaceDE w:val="0"/>
              <w:autoSpaceDN w:val="0"/>
              <w:adjustRightInd w:val="0"/>
              <w:rPr>
                <w:rFonts w:asciiTheme="minorHAnsi" w:hAnsiTheme="minorHAnsi" w:cstheme="minorHAnsi"/>
                <w:sz w:val="20"/>
                <w:szCs w:val="20"/>
                <w:lang w:val="en-GB"/>
              </w:rPr>
            </w:pPr>
            <w:r w:rsidRPr="00E7439D">
              <w:rPr>
                <w:rFonts w:asciiTheme="minorHAnsi" w:hAnsiTheme="minorHAnsi" w:cstheme="minorHAnsi"/>
                <w:sz w:val="20"/>
                <w:szCs w:val="20"/>
                <w:lang w:val="en-GB"/>
              </w:rPr>
              <w:t>applicable tariff.</w:t>
            </w:r>
          </w:p>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VAT will be added to these values</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lastRenderedPageBreak/>
              <w:t>Access to service facilities</w:t>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heme="minorHAnsi"/>
                <w:sz w:val="20"/>
                <w:szCs w:val="20"/>
                <w:lang w:val="en-GB"/>
              </w:rPr>
            </w:pPr>
            <w:r w:rsidRPr="00E7439D">
              <w:rPr>
                <w:rFonts w:asciiTheme="minorHAnsi" w:hAnsiTheme="minorHAnsi" w:cstheme="minorHAnsi"/>
                <w:sz w:val="20"/>
                <w:szCs w:val="20"/>
                <w:lang w:val="en-GB"/>
              </w:rPr>
              <w:t xml:space="preserve">Charges for access to service facilities may not </w:t>
            </w:r>
            <w:r w:rsidR="00C417E1" w:rsidRPr="00C63CDD">
              <w:rPr>
                <w:rFonts w:asciiTheme="minorHAnsi" w:hAnsiTheme="minorHAnsi"/>
                <w:sz w:val="20"/>
                <w:szCs w:val="20"/>
                <w:lang w:val="en-GB"/>
              </w:rPr>
              <w:t>exceed</w:t>
            </w:r>
            <w:r w:rsidR="00C417E1" w:rsidRPr="00E7439D">
              <w:rPr>
                <w:rFonts w:asciiTheme="minorHAnsi" w:hAnsiTheme="minorHAnsi" w:cstheme="minorHAnsi"/>
                <w:sz w:val="20"/>
                <w:szCs w:val="20"/>
                <w:lang w:val="en-GB"/>
              </w:rPr>
              <w:t xml:space="preserve"> </w:t>
            </w:r>
            <w:r w:rsidRPr="00E7439D">
              <w:rPr>
                <w:rFonts w:asciiTheme="minorHAnsi" w:hAnsiTheme="minorHAnsi" w:cstheme="minorHAnsi"/>
                <w:sz w:val="20"/>
                <w:szCs w:val="20"/>
                <w:lang w:val="en-GB"/>
              </w:rPr>
              <w:t>the cost of their provision, plus profit established on the basis of Portuguese market values, as set in section 11 of article 31 of Decree law 217/2015.</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Additional services charges</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€/unit</w:t>
            </w:r>
          </w:p>
        </w:tc>
        <w:tc>
          <w:tcPr>
            <w:tcW w:w="2671"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heme="minorHAnsi"/>
                <w:sz w:val="20"/>
                <w:szCs w:val="20"/>
                <w:lang w:val="en-GB"/>
              </w:rPr>
            </w:pPr>
            <w:r w:rsidRPr="00E7439D">
              <w:rPr>
                <w:rFonts w:asciiTheme="minorHAnsi" w:hAnsiTheme="minorHAnsi" w:cstheme="minorHAnsi"/>
                <w:sz w:val="20"/>
                <w:szCs w:val="20"/>
                <w:lang w:val="en-GB"/>
              </w:rPr>
              <w:t>These services may comprise: traction current, charges for which shall be shown on the invoices separately from charges for using the electrical supply equipment; tailor-made contracts.</w:t>
            </w:r>
          </w:p>
        </w:tc>
        <w:tc>
          <w:tcPr>
            <w:tcW w:w="3250"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Cost of providing the services, calculated on the basis of the actual level of use</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Ancillary services</w:t>
            </w:r>
          </w:p>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charges</w:t>
            </w:r>
          </w:p>
        </w:tc>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€/unit</w:t>
            </w:r>
          </w:p>
        </w:tc>
        <w:tc>
          <w:tcPr>
            <w:tcW w:w="2671"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heme="minorHAnsi"/>
                <w:sz w:val="20"/>
                <w:szCs w:val="20"/>
                <w:lang w:val="en-GB"/>
              </w:rPr>
            </w:pPr>
            <w:r w:rsidRPr="00E7439D">
              <w:rPr>
                <w:rFonts w:asciiTheme="minorHAnsi" w:hAnsiTheme="minorHAnsi" w:cstheme="minorHAnsi"/>
                <w:sz w:val="20"/>
                <w:szCs w:val="20"/>
                <w:lang w:val="en-GB"/>
              </w:rPr>
              <w:t>These services may comprise: access to telecommunication networks; provision of supplementary information; ticketing services in passenger stations; etc.</w:t>
            </w:r>
          </w:p>
        </w:tc>
        <w:tc>
          <w:tcPr>
            <w:tcW w:w="3250"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heme="minorHAnsi"/>
                <w:sz w:val="20"/>
                <w:szCs w:val="20"/>
                <w:lang w:val="en-GB"/>
              </w:rPr>
            </w:pPr>
            <w:r w:rsidRPr="00E7439D">
              <w:rPr>
                <w:rFonts w:asciiTheme="minorHAnsi" w:hAnsiTheme="minorHAnsi" w:cstheme="minorHAnsi"/>
                <w:sz w:val="20"/>
                <w:szCs w:val="20"/>
                <w:lang w:val="en-GB"/>
              </w:rPr>
              <w:t>Cost of providing the services, calculated on the basis of the actual level of use</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Performance Regime</w:t>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rsidP="0086605D">
            <w:pPr>
              <w:autoSpaceDE w:val="0"/>
              <w:autoSpaceDN w:val="0"/>
              <w:adjustRightInd w:val="0"/>
              <w:jc w:val="both"/>
              <w:rPr>
                <w:rFonts w:asciiTheme="minorHAnsi" w:hAnsiTheme="minorHAnsi" w:cstheme="minorHAnsi"/>
                <w:sz w:val="20"/>
                <w:szCs w:val="20"/>
                <w:lang w:val="en-GB"/>
              </w:rPr>
            </w:pPr>
            <w:r w:rsidRPr="00E7439D">
              <w:rPr>
                <w:rFonts w:asciiTheme="minorHAnsi" w:hAnsiTheme="minorHAnsi" w:cstheme="minorHAnsi"/>
                <w:sz w:val="20"/>
                <w:szCs w:val="20"/>
                <w:lang w:val="en-GB"/>
              </w:rPr>
              <w:t>The performance scheme aims at reducing disturbances to a minimum and to promote efficiency in the services, allowing for a better operating performance, in line with the standards foreseen in the allocation of capacity.</w:t>
            </w:r>
          </w:p>
          <w:p w:rsidR="00E7439D" w:rsidRPr="00E7439D" w:rsidRDefault="00E7439D" w:rsidP="0086605D">
            <w:pPr>
              <w:autoSpaceDE w:val="0"/>
              <w:autoSpaceDN w:val="0"/>
              <w:adjustRightInd w:val="0"/>
              <w:spacing w:line="276" w:lineRule="auto"/>
              <w:jc w:val="both"/>
              <w:rPr>
                <w:rFonts w:asciiTheme="minorHAnsi" w:hAnsiTheme="minorHAnsi" w:cstheme="minorHAnsi"/>
                <w:sz w:val="20"/>
                <w:szCs w:val="20"/>
                <w:lang w:val="en-GB"/>
              </w:rPr>
            </w:pPr>
            <w:r w:rsidRPr="00E7439D">
              <w:rPr>
                <w:rFonts w:asciiTheme="minorHAnsi" w:hAnsiTheme="minorHAnsi" w:cstheme="minorHAnsi"/>
                <w:sz w:val="20"/>
                <w:szCs w:val="20"/>
                <w:lang w:val="en-GB"/>
              </w:rPr>
              <w:t>The performance regime implemented since 2010 in accordance with the IMT Regulation 473/2010 (issued under the former legislation) does not allow a full compliance with the requisites from Annex IV of Decree-Law 217/2015 which transposed the Directive 2012/34/UE. For this reason, at the publishing date of the 2018 Network Statement, IP and the RUs are jointly developing a new process during 2017.</w:t>
            </w:r>
          </w:p>
        </w:tc>
      </w:tr>
      <w:tr w:rsidR="00E7439D" w:rsidRPr="00C54CEB" w:rsidTr="00E7439D">
        <w:trPr>
          <w:trHeight w:val="1185"/>
        </w:trPr>
        <w:tc>
          <w:tcPr>
            <w:tcW w:w="1375" w:type="dxa"/>
            <w:tcBorders>
              <w:top w:val="single" w:sz="4" w:space="0" w:color="auto"/>
              <w:left w:val="single" w:sz="4" w:space="0" w:color="auto"/>
              <w:bottom w:val="single" w:sz="4" w:space="0" w:color="auto"/>
              <w:right w:val="single" w:sz="4" w:space="0" w:color="auto"/>
            </w:tcBorders>
            <w:vAlign w:val="center"/>
            <w:hideMark/>
          </w:tcPr>
          <w:p w:rsidR="00E7439D" w:rsidRPr="0086605D" w:rsidRDefault="00E7439D">
            <w:pPr>
              <w:jc w:val="center"/>
              <w:rPr>
                <w:rFonts w:asciiTheme="minorHAnsi" w:hAnsiTheme="minorHAnsi" w:cstheme="minorHAnsi"/>
                <w:b/>
                <w:sz w:val="20"/>
                <w:szCs w:val="20"/>
                <w:lang w:val="en-GB"/>
              </w:rPr>
            </w:pPr>
            <w:r w:rsidRPr="0086605D">
              <w:rPr>
                <w:rFonts w:asciiTheme="minorHAnsi" w:hAnsiTheme="minorHAnsi" w:cstheme="minorHAnsi"/>
                <w:b/>
                <w:sz w:val="20"/>
                <w:szCs w:val="20"/>
                <w:lang w:val="en-GB"/>
              </w:rPr>
              <w:t>Noise charge</w:t>
            </w:r>
          </w:p>
        </w:tc>
        <w:tc>
          <w:tcPr>
            <w:tcW w:w="7296" w:type="dxa"/>
            <w:gridSpan w:val="3"/>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rsidP="0086605D">
            <w:pPr>
              <w:autoSpaceDE w:val="0"/>
              <w:autoSpaceDN w:val="0"/>
              <w:adjustRightInd w:val="0"/>
              <w:spacing w:line="276" w:lineRule="auto"/>
              <w:jc w:val="both"/>
              <w:rPr>
                <w:rFonts w:asciiTheme="minorHAnsi" w:hAnsiTheme="minorHAnsi" w:cstheme="minorHAnsi"/>
                <w:sz w:val="20"/>
                <w:szCs w:val="20"/>
                <w:lang w:val="en-GB"/>
              </w:rPr>
            </w:pPr>
            <w:r w:rsidRPr="00E7439D">
              <w:rPr>
                <w:rFonts w:asciiTheme="minorHAnsi" w:hAnsiTheme="minorHAnsi" w:cstheme="minorHAnsi"/>
                <w:sz w:val="20"/>
                <w:szCs w:val="20"/>
                <w:lang w:val="en-GB"/>
              </w:rPr>
              <w:t>Decree-Law nº. 179/2014, of December 18, amending Decree-Law nº. 27/2011, transposing Directive nº 2014/38/EU, on the interoperability of the railway system within the Community regarding noise pollution, allows IM to consider a noise charge. IM does not consider it yet</w:t>
            </w:r>
            <w:r w:rsidR="00C417E1">
              <w:rPr>
                <w:rFonts w:asciiTheme="minorHAnsi" w:hAnsiTheme="minorHAnsi" w:cstheme="minorHAnsi"/>
                <w:sz w:val="20"/>
                <w:szCs w:val="20"/>
                <w:lang w:val="en-GB"/>
              </w:rPr>
              <w:t>.</w:t>
            </w:r>
            <w:r w:rsidRPr="00E7439D">
              <w:rPr>
                <w:rFonts w:asciiTheme="minorHAnsi" w:hAnsiTheme="minorHAnsi" w:cstheme="minorHAnsi"/>
                <w:sz w:val="20"/>
                <w:szCs w:val="20"/>
                <w:lang w:val="en-GB"/>
              </w:rPr>
              <w:t xml:space="preserve"> </w:t>
            </w:r>
            <w:r w:rsidR="00C417E1">
              <w:rPr>
                <w:rFonts w:asciiTheme="minorHAnsi" w:hAnsiTheme="minorHAnsi" w:cstheme="minorHAnsi"/>
                <w:sz w:val="20"/>
                <w:szCs w:val="20"/>
                <w:lang w:val="en-GB"/>
              </w:rPr>
              <w:t>H</w:t>
            </w:r>
            <w:r w:rsidRPr="00E7439D">
              <w:rPr>
                <w:rFonts w:asciiTheme="minorHAnsi" w:hAnsiTheme="minorHAnsi" w:cstheme="minorHAnsi"/>
                <w:sz w:val="20"/>
                <w:szCs w:val="20"/>
                <w:lang w:val="en-GB"/>
              </w:rPr>
              <w:t>owever, since the charging model is being revised it is possible that this component might be considered.</w:t>
            </w:r>
          </w:p>
        </w:tc>
      </w:tr>
    </w:tbl>
    <w:p w:rsidR="00E7439D" w:rsidRPr="00E7439D" w:rsidRDefault="00E7439D" w:rsidP="00E7439D">
      <w:pPr>
        <w:rPr>
          <w:rFonts w:asciiTheme="minorHAnsi" w:hAnsiTheme="minorHAnsi" w:cstheme="minorBidi"/>
          <w:sz w:val="22"/>
          <w:szCs w:val="22"/>
          <w:lang w:val="en-US"/>
        </w:rPr>
      </w:pPr>
    </w:p>
    <w:p w:rsidR="00E7439D" w:rsidRPr="00E7439D" w:rsidRDefault="00E7439D" w:rsidP="006C5F50">
      <w:pPr>
        <w:rPr>
          <w:lang w:val="en-US"/>
        </w:rPr>
      </w:pPr>
    </w:p>
    <w:p w:rsidR="00E7439D" w:rsidRDefault="00E7439D" w:rsidP="006C5F50">
      <w:pPr>
        <w:rPr>
          <w:lang w:val="en-GB"/>
        </w:rPr>
      </w:pPr>
    </w:p>
    <w:p w:rsidR="00E7439D" w:rsidRPr="000A6B0A" w:rsidRDefault="00E7439D" w:rsidP="006C5F50">
      <w:pPr>
        <w:rPr>
          <w:lang w:val="en-GB"/>
        </w:rPr>
      </w:pPr>
      <w:r>
        <w:rPr>
          <w:lang w:val="en-GB"/>
        </w:rPr>
        <w:br w:type="page"/>
      </w:r>
    </w:p>
    <w:p w:rsidR="00E7439D" w:rsidRPr="000A6B0A" w:rsidRDefault="00E7439D" w:rsidP="00E7439D">
      <w:pPr>
        <w:pStyle w:val="Titre1"/>
        <w:numPr>
          <w:ilvl w:val="1"/>
          <w:numId w:val="13"/>
        </w:numPr>
        <w:spacing w:line="276" w:lineRule="auto"/>
        <w:jc w:val="both"/>
        <w:rPr>
          <w:rFonts w:asciiTheme="minorHAnsi" w:hAnsiTheme="minorHAnsi"/>
          <w:sz w:val="22"/>
          <w:szCs w:val="22"/>
          <w:lang w:val="en-GB"/>
        </w:rPr>
      </w:pPr>
      <w:bookmarkStart w:id="84" w:name="_Toc496279036"/>
      <w:r>
        <w:rPr>
          <w:rFonts w:asciiTheme="minorHAnsi" w:hAnsiTheme="minorHAnsi"/>
          <w:sz w:val="22"/>
          <w:szCs w:val="22"/>
          <w:lang w:val="en-GB"/>
        </w:rPr>
        <w:lastRenderedPageBreak/>
        <w:t>Romania</w:t>
      </w:r>
      <w:r>
        <w:rPr>
          <w:rStyle w:val="Appelnotedebasdep"/>
          <w:rFonts w:asciiTheme="minorHAnsi" w:hAnsiTheme="minorHAnsi"/>
          <w:sz w:val="22"/>
          <w:szCs w:val="22"/>
          <w:lang w:val="en-GB"/>
        </w:rPr>
        <w:footnoteReference w:id="91"/>
      </w:r>
      <w:bookmarkEnd w:id="84"/>
    </w:p>
    <w:p w:rsidR="006C5F50" w:rsidRPr="000A6B0A" w:rsidRDefault="006C5F50" w:rsidP="006C5F50">
      <w:pPr>
        <w:rPr>
          <w:lang w:val="en-GB"/>
        </w:rPr>
      </w:pPr>
    </w:p>
    <w:tbl>
      <w:tblPr>
        <w:tblW w:w="8789" w:type="dxa"/>
        <w:tblInd w:w="250" w:type="dxa"/>
        <w:tblLook w:val="04A0" w:firstRow="1" w:lastRow="0" w:firstColumn="1" w:lastColumn="0" w:noHBand="0" w:noVBand="1"/>
      </w:tblPr>
      <w:tblGrid>
        <w:gridCol w:w="1589"/>
        <w:gridCol w:w="1943"/>
        <w:gridCol w:w="2429"/>
        <w:gridCol w:w="2828"/>
      </w:tblGrid>
      <w:tr w:rsidR="00E7439D" w:rsidTr="00E7439D">
        <w:trPr>
          <w:trHeight w:val="46"/>
        </w:trPr>
        <w:tc>
          <w:tcPr>
            <w:tcW w:w="1589" w:type="dxa"/>
            <w:tcBorders>
              <w:top w:val="single" w:sz="8" w:space="0" w:color="auto"/>
              <w:left w:val="single" w:sz="8" w:space="0" w:color="auto"/>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943"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429"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828"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E7439D" w:rsidRPr="000A6B0A" w:rsidRDefault="00E7439D"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b/>
                <w:color w:val="222222"/>
                <w:sz w:val="20"/>
                <w:szCs w:val="20"/>
                <w:lang w:val="en-GB" w:eastAsia="hr-HR"/>
              </w:rPr>
            </w:pPr>
            <w:r w:rsidRPr="00E7439D">
              <w:rPr>
                <w:rFonts w:asciiTheme="minorHAnsi" w:hAnsiTheme="minorHAnsi" w:cs="Times New Roman"/>
                <w:b/>
                <w:color w:val="222222"/>
                <w:sz w:val="20"/>
                <w:szCs w:val="20"/>
                <w:lang w:val="en-GB" w:eastAsia="hr-HR"/>
              </w:rPr>
              <w:t>IAC (infrastructure access charge)</w:t>
            </w:r>
          </w:p>
        </w:tc>
        <w:tc>
          <w:tcPr>
            <w:tcW w:w="1943"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 xml:space="preserve">train.km </w:t>
            </w:r>
          </w:p>
          <w:p w:rsidR="00E7439D" w:rsidRPr="00E7439D" w:rsidRDefault="00E7439D">
            <w:pPr>
              <w:jc w:val="center"/>
              <w:rPr>
                <w:rFonts w:asciiTheme="minorHAnsi" w:hAnsiTheme="minorHAnsi" w:cs="Times New Roman"/>
                <w:color w:val="222222"/>
                <w:sz w:val="20"/>
                <w:szCs w:val="20"/>
                <w:lang w:val="en-GB" w:eastAsia="hr-HR"/>
              </w:rPr>
            </w:pP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 xml:space="preserve">The calculation of the charging elements depends on </w:t>
            </w:r>
            <w:r w:rsidRPr="00E7439D">
              <w:rPr>
                <w:rFonts w:asciiTheme="minorHAnsi" w:hAnsiTheme="minorHAnsi" w:cs="Times New Roman"/>
                <w:color w:val="222222"/>
                <w:sz w:val="20"/>
                <w:szCs w:val="20"/>
                <w:lang w:val="en-US" w:eastAsia="hr-HR"/>
              </w:rPr>
              <w:t xml:space="preserve">: </w:t>
            </w:r>
          </w:p>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w:t>
            </w:r>
            <w:r w:rsidRPr="00E7439D">
              <w:rPr>
                <w:rFonts w:asciiTheme="minorHAnsi" w:hAnsiTheme="minorHAnsi" w:cs="Times New Roman"/>
                <w:color w:val="222222"/>
                <w:sz w:val="20"/>
                <w:szCs w:val="20"/>
                <w:lang w:val="en-GB" w:eastAsia="hr-HR"/>
              </w:rPr>
              <w:t xml:space="preserve"> category</w:t>
            </w:r>
            <w:r w:rsidRPr="00C63CDD">
              <w:rPr>
                <w:rFonts w:asciiTheme="minorHAnsi" w:hAnsiTheme="minorHAnsi" w:cs="Times New Roman"/>
                <w:color w:val="222222"/>
                <w:sz w:val="20"/>
                <w:szCs w:val="20"/>
                <w:lang w:val="en-GB" w:eastAsia="hr-HR"/>
              </w:rPr>
              <w:t xml:space="preserve"> of</w:t>
            </w:r>
            <w:r w:rsidRPr="00E7439D">
              <w:rPr>
                <w:rFonts w:asciiTheme="minorHAnsi" w:hAnsiTheme="minorHAnsi" w:cs="Times New Roman"/>
                <w:color w:val="222222"/>
                <w:sz w:val="20"/>
                <w:szCs w:val="20"/>
                <w:lang w:val="en-GB" w:eastAsia="hr-HR"/>
              </w:rPr>
              <w:t xml:space="preserve"> traffic</w:t>
            </w:r>
            <w:r w:rsidRPr="00C63CDD">
              <w:rPr>
                <w:rFonts w:asciiTheme="minorHAnsi" w:hAnsiTheme="minorHAnsi" w:cs="Times New Roman"/>
                <w:color w:val="222222"/>
                <w:sz w:val="20"/>
                <w:szCs w:val="20"/>
                <w:lang w:val="en-GB" w:eastAsia="hr-HR"/>
              </w:rPr>
              <w:t xml:space="preserve"> section</w:t>
            </w:r>
          </w:p>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w:t>
            </w:r>
            <w:r w:rsidRPr="00C63CDD">
              <w:rPr>
                <w:rFonts w:asciiTheme="minorHAnsi" w:hAnsiTheme="minorHAnsi"/>
                <w:sz w:val="20"/>
                <w:szCs w:val="20"/>
                <w:lang w:val="en-GB"/>
              </w:rPr>
              <w:t xml:space="preserve"> </w:t>
            </w:r>
            <w:r w:rsidRPr="00C63CDD">
              <w:rPr>
                <w:rFonts w:asciiTheme="minorHAnsi" w:hAnsiTheme="minorHAnsi" w:cs="Times New Roman"/>
                <w:color w:val="222222"/>
                <w:sz w:val="20"/>
                <w:szCs w:val="20"/>
                <w:lang w:val="en-GB" w:eastAsia="hr-HR"/>
              </w:rPr>
              <w:t>electrified sections</w:t>
            </w:r>
          </w:p>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w:t>
            </w:r>
            <w:r w:rsidRPr="00C63CDD">
              <w:rPr>
                <w:rFonts w:asciiTheme="minorHAnsi" w:hAnsiTheme="minorHAnsi"/>
                <w:sz w:val="20"/>
                <w:szCs w:val="20"/>
                <w:lang w:val="en-GB"/>
              </w:rPr>
              <w:t xml:space="preserve"> </w:t>
            </w:r>
            <w:r w:rsidRPr="00C63CDD">
              <w:rPr>
                <w:rFonts w:asciiTheme="minorHAnsi" w:hAnsiTheme="minorHAnsi" w:cs="Times New Roman"/>
                <w:color w:val="222222"/>
                <w:sz w:val="20"/>
                <w:szCs w:val="20"/>
                <w:lang w:val="en-GB" w:eastAsia="hr-HR"/>
              </w:rPr>
              <w:t>tonnage factor</w:t>
            </w:r>
          </w:p>
          <w:p w:rsidR="00E7439D" w:rsidRPr="00E7439D" w:rsidRDefault="00E7439D">
            <w:pPr>
              <w:rPr>
                <w:rFonts w:asciiTheme="minorHAnsi" w:hAnsiTheme="minorHAnsi" w:cs="Times New Roman"/>
                <w:color w:val="222222"/>
                <w:sz w:val="20"/>
                <w:szCs w:val="20"/>
                <w:lang w:val="en-US" w:eastAsia="hr-HR"/>
              </w:rPr>
            </w:pPr>
            <w:r w:rsidRPr="00C63CDD">
              <w:rPr>
                <w:rFonts w:asciiTheme="minorHAnsi" w:hAnsiTheme="minorHAnsi" w:cs="Times New Roman"/>
                <w:color w:val="222222"/>
                <w:sz w:val="20"/>
                <w:szCs w:val="20"/>
                <w:lang w:val="en-GB" w:eastAsia="hr-HR"/>
              </w:rPr>
              <w:t>-type of traffic</w:t>
            </w:r>
            <w:r w:rsidRPr="00E7439D">
              <w:rPr>
                <w:rFonts w:asciiTheme="minorHAnsi" w:hAnsiTheme="minorHAnsi" w:cs="Times New Roman"/>
                <w:color w:val="222222"/>
                <w:sz w:val="20"/>
                <w:szCs w:val="20"/>
                <w:lang w:val="en-US" w:eastAsia="hr-HR"/>
              </w:rPr>
              <w:t>: passenger or freight</w:t>
            </w:r>
          </w:p>
          <w:p w:rsidR="00E7439D" w:rsidRPr="00E7439D" w:rsidRDefault="00E7439D">
            <w:pPr>
              <w:rPr>
                <w:rFonts w:asciiTheme="minorHAnsi" w:hAnsiTheme="minorHAnsi" w:cs="Times New Roman"/>
                <w:color w:val="222222"/>
                <w:sz w:val="20"/>
                <w:szCs w:val="20"/>
                <w:lang w:val="en-US" w:eastAsia="hr-HR"/>
              </w:rPr>
            </w:pPr>
            <w:r w:rsidRPr="00E7439D">
              <w:rPr>
                <w:rFonts w:asciiTheme="minorHAnsi" w:hAnsiTheme="minorHAnsi" w:cs="Times New Roman"/>
                <w:color w:val="222222"/>
                <w:sz w:val="20"/>
                <w:szCs w:val="20"/>
                <w:lang w:val="en-US" w:eastAsia="hr-HR"/>
              </w:rPr>
              <w:t>-</w:t>
            </w:r>
            <w:r w:rsidRPr="00E7439D">
              <w:rPr>
                <w:rFonts w:asciiTheme="minorHAnsi" w:hAnsiTheme="minorHAnsi"/>
                <w:sz w:val="20"/>
                <w:szCs w:val="20"/>
                <w:lang w:val="en-US"/>
              </w:rPr>
              <w:t xml:space="preserve"> </w:t>
            </w:r>
            <w:r w:rsidRPr="00C63CDD">
              <w:rPr>
                <w:rFonts w:asciiTheme="minorHAnsi" w:hAnsiTheme="minorHAnsi" w:cs="Times New Roman"/>
                <w:color w:val="222222"/>
                <w:sz w:val="20"/>
                <w:szCs w:val="20"/>
                <w:lang w:val="en-GB" w:eastAsia="hr-HR"/>
              </w:rPr>
              <w:t>category of traffic section</w:t>
            </w:r>
          </w:p>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-tehnical systems for electrified sections</w:t>
            </w:r>
          </w:p>
          <w:p w:rsidR="00E7439D" w:rsidRPr="00E7439D" w:rsidRDefault="00E7439D">
            <w:pPr>
              <w:rPr>
                <w:rFonts w:asciiTheme="minorHAnsi" w:hAnsiTheme="minorHAnsi" w:cs="Times New Roman"/>
                <w:color w:val="222222"/>
                <w:sz w:val="20"/>
                <w:szCs w:val="20"/>
                <w:lang w:val="en-US" w:eastAsia="hr-HR"/>
              </w:rPr>
            </w:pPr>
          </w:p>
          <w:p w:rsidR="00E7439D" w:rsidRPr="00E7439D" w:rsidRDefault="00E7439D">
            <w:pPr>
              <w:rPr>
                <w:rFonts w:asciiTheme="minorHAnsi" w:hAnsiTheme="minorHAnsi" w:cs="Times New Roman"/>
                <w:color w:val="222222"/>
                <w:sz w:val="20"/>
                <w:szCs w:val="20"/>
                <w:lang w:val="en-US" w:eastAsia="hr-HR"/>
              </w:rPr>
            </w:pPr>
          </w:p>
        </w:tc>
        <w:tc>
          <w:tcPr>
            <w:tcW w:w="2828"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directly incurred cost</w:t>
            </w:r>
          </w:p>
        </w:tc>
      </w:tr>
      <w:tr w:rsidR="00E7439D" w:rsidTr="0086605D">
        <w:trPr>
          <w:trHeight w:val="585"/>
        </w:trPr>
        <w:tc>
          <w:tcPr>
            <w:tcW w:w="8789" w:type="dxa"/>
            <w:gridSpan w:val="4"/>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 xml:space="preserve">Charges for other operating services performed by CFR S.A </w:t>
            </w:r>
          </w:p>
          <w:p w:rsidR="00E7439D" w:rsidRPr="00E7439D" w:rsidRDefault="00E7439D">
            <w:pPr>
              <w:jc w:val="center"/>
              <w:rPr>
                <w:rFonts w:asciiTheme="minorHAnsi" w:hAnsiTheme="minorHAnsi" w:cs="Times New Roman"/>
                <w:b/>
                <w:color w:val="222222"/>
                <w:sz w:val="20"/>
                <w:szCs w:val="20"/>
                <w:lang w:val="en-GB" w:eastAsia="hr-HR"/>
              </w:rPr>
            </w:pPr>
            <w:r w:rsidRPr="00E7439D">
              <w:rPr>
                <w:rFonts w:asciiTheme="minorHAnsi" w:hAnsiTheme="minorHAnsi" w:cs="Times New Roman"/>
                <w:b/>
                <w:color w:val="222222"/>
                <w:sz w:val="20"/>
                <w:szCs w:val="20"/>
                <w:lang w:eastAsia="hr-HR"/>
              </w:rPr>
              <w:t>(the IM)</w:t>
            </w: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Basic charges for train path preparation</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 from IAC</w:t>
            </w:r>
          </w:p>
        </w:tc>
        <w:tc>
          <w:tcPr>
            <w:tcW w:w="2429" w:type="dxa"/>
            <w:tcBorders>
              <w:top w:val="single" w:sz="4" w:space="0" w:color="auto"/>
              <w:left w:val="single" w:sz="4" w:space="0" w:color="auto"/>
              <w:bottom w:val="single" w:sz="4" w:space="0" w:color="auto"/>
              <w:right w:val="single" w:sz="4" w:space="0" w:color="auto"/>
            </w:tcBorders>
            <w:vAlign w:val="center"/>
            <w:hideMark/>
          </w:tcPr>
          <w:p w:rsidR="00C417E1" w:rsidRDefault="00C417E1">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The charge for train path preparation is applied for trains especially ordered and for trains with occasional running. This charge is not applied if the train path is modified for reasons attributable to CFR  </w:t>
            </w:r>
          </w:p>
          <w:p w:rsidR="00E7439D" w:rsidRPr="00E7439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the issuing of transport documents (tickets, season tickets)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 0.78 Lei / for the transport document</w:t>
            </w:r>
          </w:p>
        </w:tc>
        <w:tc>
          <w:tcPr>
            <w:tcW w:w="2429" w:type="dxa"/>
            <w:tcBorders>
              <w:top w:val="single" w:sz="4" w:space="0" w:color="auto"/>
              <w:left w:val="single" w:sz="4" w:space="0" w:color="auto"/>
              <w:bottom w:val="single" w:sz="4" w:space="0" w:color="auto"/>
              <w:right w:val="single" w:sz="4" w:space="0" w:color="auto"/>
            </w:tcBorders>
            <w:vAlign w:val="center"/>
            <w:hideMark/>
          </w:tcPr>
          <w:p w:rsidR="00C417E1" w:rsidRDefault="00C417E1">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It applies in the case when no agreements are concluded with the RU for this service. It must be monthly registered in a separate note, per each type of service, and the specialized regional office prepares the relevant invoice.</w:t>
            </w:r>
          </w:p>
          <w:p w:rsidR="00E7439D" w:rsidRPr="00E7439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filling in commercial files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eastAsia="hr-HR"/>
              </w:rPr>
              <w:t>11.98 Lei /file</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No</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storage on CFR’s lands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 xml:space="preserve">1.17 Lei /hour and tonne </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val="en-GB" w:eastAsia="hr-HR"/>
              </w:rPr>
            </w:pPr>
            <w:r w:rsidRPr="00E7439D">
              <w:rPr>
                <w:rFonts w:asciiTheme="minorHAnsi" w:hAnsiTheme="minorHAnsi" w:cs="Times New Roman"/>
                <w:color w:val="222222"/>
                <w:sz w:val="20"/>
                <w:szCs w:val="20"/>
                <w:lang w:val="en-GB" w:eastAsia="hr-HR"/>
              </w:rPr>
              <w:t>No</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lastRenderedPageBreak/>
              <w:t>Additional charge for falsely declaring the weight of goods for wagon shipments exceeding the axle load, the load per linear meter or the loading capacity of the waggon</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89.61 Lei /tone</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It is levied from the railway undertaking</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Additional charges for the non-compliance with or change in the scheduling of the use of train paths</w:t>
            </w:r>
          </w:p>
        </w:tc>
        <w:tc>
          <w:tcPr>
            <w:tcW w:w="1943"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1.17 lei </w:t>
            </w:r>
            <w:r w:rsidRPr="00E7439D">
              <w:rPr>
                <w:rFonts w:asciiTheme="minorHAnsi" w:hAnsiTheme="minorHAnsi" w:cs="Times New Roman"/>
                <w:color w:val="222222"/>
                <w:sz w:val="20"/>
                <w:szCs w:val="20"/>
                <w:lang w:val="ro-RO" w:eastAsia="hr-HR"/>
              </w:rPr>
              <w:t>/</w:t>
            </w:r>
            <w:r w:rsidRPr="00C63CDD">
              <w:rPr>
                <w:rFonts w:asciiTheme="minorHAnsi" w:hAnsiTheme="minorHAnsi" w:cs="Times New Roman"/>
                <w:color w:val="222222"/>
                <w:sz w:val="20"/>
                <w:szCs w:val="20"/>
                <w:lang w:val="en-GB" w:eastAsia="hr-HR"/>
              </w:rPr>
              <w:t>km of train path for freight traffic</w:t>
            </w:r>
          </w:p>
          <w:p w:rsidR="00E7439D" w:rsidRPr="00C63CDD" w:rsidRDefault="00E7439D">
            <w:pPr>
              <w:jc w:val="center"/>
              <w:rPr>
                <w:rFonts w:asciiTheme="minorHAnsi" w:hAnsiTheme="minorHAnsi" w:cs="Times New Roman"/>
                <w:color w:val="222222"/>
                <w:sz w:val="20"/>
                <w:szCs w:val="20"/>
                <w:lang w:val="en-GB" w:eastAsia="hr-HR"/>
              </w:rPr>
            </w:pPr>
          </w:p>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0.39 lei/km of train path for passenger traffic</w:t>
            </w:r>
          </w:p>
        </w:tc>
        <w:tc>
          <w:tcPr>
            <w:tcW w:w="2429" w:type="dxa"/>
            <w:tcBorders>
              <w:top w:val="single" w:sz="4" w:space="0" w:color="auto"/>
              <w:left w:val="single" w:sz="4" w:space="0" w:color="auto"/>
              <w:bottom w:val="single" w:sz="4" w:space="0" w:color="auto"/>
              <w:right w:val="single" w:sz="4" w:space="0" w:color="auto"/>
            </w:tcBorders>
            <w:vAlign w:val="center"/>
            <w:hideMark/>
          </w:tcPr>
          <w:p w:rsidR="00C417E1" w:rsidRPr="00C63CDD" w:rsidRDefault="00C417E1">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No additional charges are levied for the trains which are included in the temporary traffic timetable, which have a Special Order or which are Season Trains.</w:t>
            </w:r>
          </w:p>
          <w:p w:rsidR="00E7439D" w:rsidRPr="00C63CD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train path reservation</w:t>
            </w:r>
          </w:p>
        </w:tc>
        <w:tc>
          <w:tcPr>
            <w:tcW w:w="1943"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0.1 x no. of days for which the RU requires the reservation x IAC </w:t>
            </w:r>
          </w:p>
          <w:p w:rsidR="00E7439D" w:rsidRPr="00C63CDD" w:rsidRDefault="00E7439D">
            <w:pPr>
              <w:jc w:val="center"/>
              <w:rPr>
                <w:rFonts w:asciiTheme="minorHAnsi" w:hAnsiTheme="minorHAnsi" w:cs="Times New Roman"/>
                <w:color w:val="222222"/>
                <w:sz w:val="20"/>
                <w:szCs w:val="20"/>
                <w:lang w:val="en-GB" w:eastAsia="hr-HR"/>
              </w:rPr>
            </w:pPr>
          </w:p>
        </w:tc>
        <w:tc>
          <w:tcPr>
            <w:tcW w:w="2429" w:type="dxa"/>
            <w:tcBorders>
              <w:top w:val="single" w:sz="4" w:space="0" w:color="auto"/>
              <w:left w:val="single" w:sz="4" w:space="0" w:color="auto"/>
              <w:bottom w:val="single" w:sz="4" w:space="0" w:color="auto"/>
              <w:right w:val="single" w:sz="4" w:space="0" w:color="auto"/>
            </w:tcBorders>
            <w:vAlign w:val="center"/>
            <w:hideMark/>
          </w:tcPr>
          <w:p w:rsidR="00C417E1" w:rsidRPr="00C63CDD" w:rsidRDefault="00C417E1">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The charge is payable by the RU that does not use the allocated train paths </w:t>
            </w:r>
          </w:p>
          <w:p w:rsidR="00E7439D" w:rsidRPr="00C63CD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long ordinary load transports with two or several wagons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5.03lei /100 kg of charging mass of the bearing wagon + number of safety wagons 26,77 Lei /100 kg of charging mass of a safety</w:t>
            </w: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Special charge for explosive materials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5.81 Lei/100 kg of charging mass</w:t>
            </w: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rPr>
                <w:rFonts w:asciiTheme="minorHAnsi" w:hAnsiTheme="minorHAnsi" w:cs="Times New Roman"/>
                <w:color w:val="222222"/>
                <w:sz w:val="20"/>
                <w:szCs w:val="20"/>
                <w:lang w:val="en-GB"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shunting on the infrastructure lines the wagons that are introduced in (taken out of) the train formation</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LEI 7.72/conventional wagon</w:t>
            </w: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rPr>
                <w:rFonts w:asciiTheme="minorHAnsi" w:hAnsiTheme="minorHAnsi" w:cs="Times New Roman"/>
                <w:color w:val="222222"/>
                <w:sz w:val="20"/>
                <w:szCs w:val="20"/>
                <w:lang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the access of the shunting convoys to the railway infrastructure</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LEI 7.72 convoy/km</w:t>
            </w: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rPr>
                <w:rFonts w:asciiTheme="minorHAnsi" w:hAnsiTheme="minorHAnsi" w:cs="Times New Roman"/>
                <w:color w:val="222222"/>
                <w:sz w:val="20"/>
                <w:szCs w:val="20"/>
                <w:lang w:eastAsia="hr-HR"/>
              </w:rPr>
            </w:pP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lastRenderedPageBreak/>
              <w:t>Charge for the participation of the operating personnel of the economic entities in the personnel training organized by CFR SA</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23.17 Lei/person and hour</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No</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stopping rolling stock not belonging to CFR SA on the lines of CFR SA</w:t>
            </w:r>
          </w:p>
        </w:tc>
        <w:tc>
          <w:tcPr>
            <w:tcW w:w="1943"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0.47/ Lei conventional wagon</w:t>
            </w:r>
          </w:p>
          <w:p w:rsidR="00E7439D" w:rsidRPr="00C63CDD" w:rsidRDefault="00E7439D">
            <w:pPr>
              <w:jc w:val="center"/>
              <w:rPr>
                <w:rFonts w:asciiTheme="minorHAnsi" w:hAnsiTheme="minorHAnsi" w:cs="Times New Roman"/>
                <w:color w:val="222222"/>
                <w:sz w:val="20"/>
                <w:szCs w:val="20"/>
                <w:lang w:val="en-GB" w:eastAsia="hr-HR"/>
              </w:rPr>
            </w:pPr>
          </w:p>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 xml:space="preserve"> 1.29 Lei/other rolling stock than wagon</w:t>
            </w:r>
          </w:p>
        </w:tc>
        <w:tc>
          <w:tcPr>
            <w:tcW w:w="2429" w:type="dxa"/>
            <w:tcBorders>
              <w:top w:val="single" w:sz="4" w:space="0" w:color="auto"/>
              <w:left w:val="single" w:sz="4" w:space="0" w:color="auto"/>
              <w:bottom w:val="single" w:sz="4" w:space="0" w:color="auto"/>
              <w:right w:val="single" w:sz="4" w:space="0" w:color="auto"/>
            </w:tcBorders>
            <w:vAlign w:val="center"/>
          </w:tcPr>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conventional wagon</w:t>
            </w:r>
          </w:p>
          <w:p w:rsidR="00E7439D" w:rsidRPr="00C63CDD" w:rsidRDefault="00E7439D">
            <w:pPr>
              <w:rPr>
                <w:rFonts w:asciiTheme="minorHAnsi" w:hAnsiTheme="minorHAnsi" w:cs="Times New Roman"/>
                <w:color w:val="222222"/>
                <w:sz w:val="20"/>
                <w:szCs w:val="20"/>
                <w:lang w:val="en-GB" w:eastAsia="hr-HR"/>
              </w:rPr>
            </w:pPr>
          </w:p>
          <w:p w:rsidR="00E7439D" w:rsidRPr="00C63CDD" w:rsidRDefault="00E7439D">
            <w:pPr>
              <w:rPr>
                <w:rFonts w:asciiTheme="minorHAnsi" w:hAnsiTheme="minorHAnsi" w:cs="Times New Roman"/>
                <w:color w:val="222222"/>
                <w:sz w:val="20"/>
                <w:szCs w:val="20"/>
                <w:lang w:val="en-GB" w:eastAsia="hr-HR"/>
              </w:rPr>
            </w:pPr>
          </w:p>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other rolling stock than wagon</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shunting on the railway infrastructure lines in the railway stations or centres with a high activity volume on extended areas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18.05 Lei/physical wagon</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No</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Charge for the commercial stops of the passenger trains in the stations</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jc w:val="cente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0.99 Lei /stop</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E7439D" w:rsidRDefault="00E7439D">
            <w:pPr>
              <w:rPr>
                <w:rFonts w:asciiTheme="minorHAnsi" w:hAnsiTheme="minorHAnsi" w:cs="Times New Roman"/>
                <w:color w:val="222222"/>
                <w:sz w:val="20"/>
                <w:szCs w:val="20"/>
                <w:lang w:eastAsia="hr-HR"/>
              </w:rPr>
            </w:pPr>
            <w:r w:rsidRPr="00E7439D">
              <w:rPr>
                <w:rFonts w:asciiTheme="minorHAnsi" w:hAnsiTheme="minorHAnsi" w:cs="Times New Roman"/>
                <w:color w:val="222222"/>
                <w:sz w:val="20"/>
                <w:szCs w:val="20"/>
                <w:lang w:eastAsia="hr-HR"/>
              </w:rPr>
              <w:t>No</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r w:rsidR="00E7439D" w:rsidRPr="00C54CEB" w:rsidTr="00E7439D">
        <w:trPr>
          <w:trHeight w:val="1185"/>
        </w:trPr>
        <w:tc>
          <w:tcPr>
            <w:tcW w:w="158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b/>
                <w:color w:val="222222"/>
                <w:sz w:val="20"/>
                <w:szCs w:val="20"/>
                <w:lang w:val="en-GB" w:eastAsia="hr-HR"/>
              </w:rPr>
            </w:pPr>
            <w:r w:rsidRPr="00C63CDD">
              <w:rPr>
                <w:rFonts w:asciiTheme="minorHAnsi" w:hAnsiTheme="minorHAnsi" w:cs="Times New Roman"/>
                <w:b/>
                <w:color w:val="222222"/>
                <w:sz w:val="20"/>
                <w:szCs w:val="20"/>
                <w:lang w:val="en-GB" w:eastAsia="hr-HR"/>
              </w:rPr>
              <w:t xml:space="preserve">Charge for train trafic control for non-interoperable rented sections </w:t>
            </w:r>
          </w:p>
        </w:tc>
        <w:tc>
          <w:tcPr>
            <w:tcW w:w="1943"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jc w:val="cente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2.99 Lei / train station (for passenger trains) Lei 4.79 / train station (for freight trains)</w:t>
            </w:r>
          </w:p>
        </w:tc>
        <w:tc>
          <w:tcPr>
            <w:tcW w:w="2429" w:type="dxa"/>
            <w:tcBorders>
              <w:top w:val="single" w:sz="4" w:space="0" w:color="auto"/>
              <w:left w:val="single" w:sz="4" w:space="0" w:color="auto"/>
              <w:bottom w:val="single" w:sz="4" w:space="0" w:color="auto"/>
              <w:right w:val="single" w:sz="4" w:space="0" w:color="auto"/>
            </w:tcBorders>
            <w:vAlign w:val="center"/>
            <w:hideMark/>
          </w:tcPr>
          <w:p w:rsidR="00E7439D" w:rsidRPr="00C63CDD" w:rsidRDefault="00E7439D">
            <w:pPr>
              <w:rPr>
                <w:rFonts w:asciiTheme="minorHAnsi" w:hAnsiTheme="minorHAnsi" w:cs="Times New Roman"/>
                <w:color w:val="222222"/>
                <w:sz w:val="20"/>
                <w:szCs w:val="20"/>
                <w:lang w:val="en-GB" w:eastAsia="hr-HR"/>
              </w:rPr>
            </w:pPr>
            <w:r w:rsidRPr="00C63CDD">
              <w:rPr>
                <w:rFonts w:asciiTheme="minorHAnsi" w:hAnsiTheme="minorHAnsi" w:cs="Times New Roman"/>
                <w:color w:val="222222"/>
                <w:sz w:val="20"/>
                <w:szCs w:val="20"/>
                <w:lang w:val="en-GB" w:eastAsia="hr-HR"/>
              </w:rPr>
              <w:t>The charge for train traffic control for non-interoperable sections rented applies for sectioning points fitted with dispatchers and / or revise switches personnel</w:t>
            </w:r>
          </w:p>
        </w:tc>
        <w:tc>
          <w:tcPr>
            <w:tcW w:w="2828" w:type="dxa"/>
            <w:tcBorders>
              <w:top w:val="single" w:sz="4" w:space="0" w:color="auto"/>
              <w:left w:val="single" w:sz="4" w:space="0" w:color="auto"/>
              <w:bottom w:val="single" w:sz="4" w:space="0" w:color="auto"/>
              <w:right w:val="single" w:sz="4" w:space="0" w:color="auto"/>
            </w:tcBorders>
            <w:vAlign w:val="center"/>
          </w:tcPr>
          <w:p w:rsidR="00E7439D" w:rsidRPr="00E7439D" w:rsidRDefault="00E7439D">
            <w:pPr>
              <w:jc w:val="center"/>
              <w:rPr>
                <w:rFonts w:asciiTheme="minorHAnsi" w:hAnsiTheme="minorHAnsi" w:cs="Times New Roman"/>
                <w:color w:val="222222"/>
                <w:sz w:val="20"/>
                <w:szCs w:val="20"/>
                <w:lang w:val="en-GB" w:eastAsia="hr-HR"/>
              </w:rPr>
            </w:pPr>
          </w:p>
        </w:tc>
      </w:tr>
    </w:tbl>
    <w:p w:rsidR="006C5F50" w:rsidRPr="00C63CDD" w:rsidRDefault="006C5F50" w:rsidP="006C5F50">
      <w:pPr>
        <w:rPr>
          <w:lang w:val="en-GB"/>
        </w:rPr>
      </w:pPr>
    </w:p>
    <w:p w:rsidR="006C5F50" w:rsidRPr="000A6B0A" w:rsidRDefault="006C5F50" w:rsidP="006C5F50">
      <w:pPr>
        <w:rPr>
          <w:lang w:val="en-GB"/>
        </w:rPr>
      </w:pPr>
    </w:p>
    <w:p w:rsidR="006C5F50" w:rsidRPr="000A6B0A" w:rsidRDefault="006C5F50" w:rsidP="006C5F50">
      <w:pPr>
        <w:rPr>
          <w:lang w:val="en-GB"/>
        </w:rPr>
      </w:pPr>
    </w:p>
    <w:p w:rsidR="006C5F50" w:rsidRPr="000A6B0A" w:rsidRDefault="00E7439D" w:rsidP="006C5F50">
      <w:pPr>
        <w:rPr>
          <w:lang w:val="en-GB"/>
        </w:rPr>
      </w:pPr>
      <w:r>
        <w:rPr>
          <w:lang w:val="en-GB"/>
        </w:rPr>
        <w:br w:type="page"/>
      </w:r>
    </w:p>
    <w:p w:rsidR="00767DA1" w:rsidRPr="000A6B0A" w:rsidRDefault="00767DA1" w:rsidP="00767DA1">
      <w:pPr>
        <w:pStyle w:val="Titre1"/>
        <w:numPr>
          <w:ilvl w:val="1"/>
          <w:numId w:val="13"/>
        </w:numPr>
        <w:spacing w:line="276" w:lineRule="auto"/>
        <w:jc w:val="both"/>
        <w:rPr>
          <w:rFonts w:asciiTheme="minorHAnsi" w:hAnsiTheme="minorHAnsi"/>
          <w:sz w:val="22"/>
          <w:szCs w:val="22"/>
          <w:lang w:val="en-GB"/>
        </w:rPr>
      </w:pPr>
      <w:bookmarkStart w:id="85" w:name="_Toc461625140"/>
      <w:bookmarkStart w:id="86" w:name="_Toc461625242"/>
      <w:bookmarkStart w:id="87" w:name="_Toc496279037"/>
      <w:r w:rsidRPr="000A6B0A">
        <w:rPr>
          <w:rFonts w:asciiTheme="minorHAnsi" w:hAnsiTheme="minorHAnsi"/>
          <w:sz w:val="22"/>
          <w:szCs w:val="22"/>
          <w:lang w:val="en-GB"/>
        </w:rPr>
        <w:lastRenderedPageBreak/>
        <w:t>Slovakia</w:t>
      </w:r>
      <w:bookmarkEnd w:id="85"/>
      <w:bookmarkEnd w:id="86"/>
      <w:bookmarkEnd w:id="87"/>
    </w:p>
    <w:p w:rsidR="005E0E1E" w:rsidRPr="00A56CA1" w:rsidRDefault="005E0E1E">
      <w:pPr>
        <w:rPr>
          <w:lang w:val="en-GB"/>
        </w:rPr>
      </w:pPr>
    </w:p>
    <w:p w:rsidR="00BF06FD" w:rsidRDefault="00BF06FD" w:rsidP="0086605D">
      <w:pPr>
        <w:spacing w:line="276" w:lineRule="auto"/>
        <w:rPr>
          <w:rFonts w:asciiTheme="minorHAnsi" w:hAnsiTheme="minorHAnsi" w:cs="Times New Roman"/>
          <w:sz w:val="22"/>
          <w:szCs w:val="22"/>
          <w:lang w:val="en-GB"/>
        </w:rPr>
      </w:pPr>
      <w:r>
        <w:rPr>
          <w:rFonts w:asciiTheme="minorHAnsi" w:hAnsiTheme="minorHAnsi" w:cs="Times New Roman"/>
          <w:sz w:val="22"/>
          <w:szCs w:val="22"/>
          <w:lang w:val="en-GB"/>
        </w:rPr>
        <w:t xml:space="preserve">The Slovak Republic has a valid regulatory framework since March 2017. New charging system will be available in 2019. </w:t>
      </w:r>
    </w:p>
    <w:p w:rsidR="002B647E" w:rsidRDefault="002B647E" w:rsidP="005E0E1E">
      <w:pPr>
        <w:rPr>
          <w:rFonts w:asciiTheme="minorHAnsi" w:hAnsiTheme="minorHAnsi" w:cs="Times New Roman"/>
          <w:sz w:val="22"/>
          <w:szCs w:val="22"/>
          <w:lang w:val="en-GB"/>
        </w:rPr>
      </w:pPr>
    </w:p>
    <w:tbl>
      <w:tblPr>
        <w:tblStyle w:val="Grilledutableau"/>
        <w:tblW w:w="0" w:type="auto"/>
        <w:tblLook w:val="04A0" w:firstRow="1" w:lastRow="0" w:firstColumn="1" w:lastColumn="0" w:noHBand="0" w:noVBand="1"/>
      </w:tblPr>
      <w:tblGrid>
        <w:gridCol w:w="1793"/>
        <w:gridCol w:w="1813"/>
        <w:gridCol w:w="1804"/>
        <w:gridCol w:w="1829"/>
        <w:gridCol w:w="1797"/>
      </w:tblGrid>
      <w:tr w:rsidR="002B647E" w:rsidTr="002B647E">
        <w:tc>
          <w:tcPr>
            <w:tcW w:w="17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2B647E" w:rsidRDefault="002B647E">
            <w:pPr>
              <w:spacing w:line="360" w:lineRule="auto"/>
              <w:jc w:val="both"/>
              <w:rPr>
                <w:rFonts w:ascii="Times New Roman" w:hAnsi="Times New Roman" w:cs="Times New Roman"/>
                <w:sz w:val="24"/>
                <w:szCs w:val="24"/>
                <w:lang w:val="en-GB" w:eastAsia="en-US"/>
              </w:rPr>
            </w:pPr>
          </w:p>
        </w:tc>
        <w:tc>
          <w:tcPr>
            <w:tcW w:w="181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B647E" w:rsidRDefault="002B647E">
            <w:pPr>
              <w:spacing w:line="360" w:lineRule="auto"/>
              <w:jc w:val="both"/>
              <w:rPr>
                <w:rFonts w:ascii="Times New Roman" w:hAnsi="Times New Roman" w:cs="Times New Roman"/>
                <w:sz w:val="24"/>
                <w:szCs w:val="24"/>
                <w:lang w:val="en-GB" w:eastAsia="en-US"/>
              </w:rPr>
            </w:pPr>
            <w:r w:rsidRPr="000A6B0A">
              <w:rPr>
                <w:rFonts w:asciiTheme="minorHAnsi" w:hAnsiTheme="minorHAnsi" w:cs="Calibri"/>
                <w:b/>
                <w:color w:val="FFFFFF"/>
                <w:sz w:val="20"/>
                <w:lang w:val="en-GB"/>
              </w:rPr>
              <w:t>Charge</w:t>
            </w:r>
          </w:p>
        </w:tc>
        <w:tc>
          <w:tcPr>
            <w:tcW w:w="1804"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B647E" w:rsidRDefault="002B647E">
            <w:pPr>
              <w:spacing w:line="360" w:lineRule="auto"/>
              <w:jc w:val="both"/>
              <w:rPr>
                <w:rFonts w:ascii="Times New Roman" w:hAnsi="Times New Roman" w:cs="Times New Roman"/>
                <w:sz w:val="24"/>
                <w:szCs w:val="24"/>
                <w:lang w:val="en-GB" w:eastAsia="en-US"/>
              </w:rPr>
            </w:pPr>
            <w:r w:rsidRPr="000A6B0A">
              <w:rPr>
                <w:rFonts w:asciiTheme="minorHAnsi" w:hAnsiTheme="minorHAnsi" w:cs="Calibri"/>
                <w:b/>
                <w:color w:val="FFFFFF"/>
                <w:sz w:val="20"/>
                <w:lang w:val="en-GB"/>
              </w:rPr>
              <w:t>Unit</w:t>
            </w:r>
          </w:p>
        </w:tc>
        <w:tc>
          <w:tcPr>
            <w:tcW w:w="1829"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B647E" w:rsidRDefault="002B647E">
            <w:pPr>
              <w:spacing w:line="360" w:lineRule="auto"/>
              <w:jc w:val="both"/>
              <w:rPr>
                <w:rFonts w:ascii="Times New Roman" w:hAnsi="Times New Roman" w:cs="Times New Roman"/>
                <w:sz w:val="24"/>
                <w:szCs w:val="24"/>
                <w:lang w:val="en-GB" w:eastAsia="en-US"/>
              </w:rPr>
            </w:pPr>
            <w:r w:rsidRPr="000A6B0A">
              <w:rPr>
                <w:rFonts w:asciiTheme="minorHAnsi" w:hAnsiTheme="minorHAnsi" w:cs="Calibri"/>
                <w:b/>
                <w:color w:val="FFFFFF"/>
                <w:sz w:val="20"/>
                <w:lang w:val="en-GB"/>
              </w:rPr>
              <w:t>Differentiation</w:t>
            </w:r>
          </w:p>
        </w:tc>
        <w:tc>
          <w:tcPr>
            <w:tcW w:w="17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rsidR="002B647E" w:rsidRDefault="002B647E">
            <w:pPr>
              <w:spacing w:line="360" w:lineRule="auto"/>
              <w:jc w:val="both"/>
              <w:rPr>
                <w:rFonts w:ascii="Times New Roman" w:hAnsi="Times New Roman" w:cs="Times New Roman"/>
                <w:sz w:val="24"/>
                <w:szCs w:val="24"/>
                <w:lang w:val="en-GB" w:eastAsia="en-US"/>
              </w:rPr>
            </w:pPr>
            <w:r w:rsidRPr="000A6B0A">
              <w:rPr>
                <w:rFonts w:asciiTheme="minorHAnsi" w:hAnsiTheme="minorHAnsi" w:cs="Calibri"/>
                <w:b/>
                <w:color w:val="FFFFFF"/>
                <w:sz w:val="20"/>
                <w:lang w:val="en-GB"/>
              </w:rPr>
              <w:t>Cost covered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Minimal access package</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color w:val="222222"/>
                <w:sz w:val="20"/>
                <w:szCs w:val="20"/>
                <w:lang w:val="en-GB" w:eastAsia="hr-HR"/>
              </w:rPr>
            </w:pPr>
            <w:r w:rsidRPr="0038644B">
              <w:rPr>
                <w:rStyle w:val="shorttext"/>
                <w:rFonts w:asciiTheme="minorHAnsi" w:hAnsiTheme="minorHAnsi" w:cs="Times New Roman"/>
                <w:b/>
                <w:sz w:val="20"/>
                <w:szCs w:val="20"/>
                <w:lang w:val="en-GB"/>
              </w:rPr>
              <w:t>ordering and allocation of capacity</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train.km</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Minimal access package</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sz w:val="20"/>
                <w:szCs w:val="20"/>
                <w:lang w:val="en-GB" w:eastAsia="en-US"/>
              </w:rPr>
            </w:pPr>
            <w:r w:rsidRPr="0038644B">
              <w:rPr>
                <w:rFonts w:asciiTheme="minorHAnsi" w:hAnsiTheme="minorHAnsi" w:cs="Times New Roman"/>
                <w:b/>
                <w:sz w:val="20"/>
                <w:szCs w:val="20"/>
                <w:lang w:val="en-GB"/>
              </w:rPr>
              <w:t>management and organization of traffic</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train.km</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Minimal access package</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sz w:val="20"/>
                <w:szCs w:val="20"/>
                <w:lang w:val="en-GB" w:eastAsia="en-US"/>
              </w:rPr>
            </w:pPr>
            <w:r w:rsidRPr="0038644B">
              <w:rPr>
                <w:rFonts w:asciiTheme="minorHAnsi" w:hAnsiTheme="minorHAnsi" w:cs="Times New Roman"/>
                <w:b/>
                <w:sz w:val="20"/>
                <w:szCs w:val="20"/>
                <w:lang w:val="en-GB"/>
              </w:rPr>
              <w:t>operability of infrastructure</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1000.gross tonne.km</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Track access to service facilities</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sz w:val="20"/>
                <w:szCs w:val="20"/>
                <w:lang w:val="en-GB" w:eastAsia="en-US"/>
              </w:rPr>
            </w:pPr>
            <w:r w:rsidRPr="0038644B">
              <w:rPr>
                <w:rFonts w:asciiTheme="minorHAnsi" w:hAnsiTheme="minorHAnsi" w:cs="Times New Roman"/>
                <w:b/>
                <w:sz w:val="20"/>
                <w:szCs w:val="20"/>
                <w:lang w:val="en-GB"/>
              </w:rPr>
              <w:t>Electrical supply facilities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1000.gross tonne.km</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different for passenger and freight transport</w:t>
            </w: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Track access to service facilities</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sz w:val="20"/>
                <w:szCs w:val="20"/>
                <w:lang w:val="en-GB" w:eastAsia="en-US"/>
              </w:rPr>
            </w:pPr>
            <w:r w:rsidRPr="0038644B">
              <w:rPr>
                <w:rFonts w:asciiTheme="minorHAnsi" w:hAnsiTheme="minorHAnsi" w:cs="Times New Roman"/>
                <w:b/>
                <w:sz w:val="20"/>
                <w:szCs w:val="20"/>
                <w:lang w:val="en-GB"/>
              </w:rPr>
              <w:t>Access to passenger stations, buildings and facilities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stop</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different for passenger and freight transport</w:t>
            </w: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r w:rsidR="002B647E" w:rsidRPr="00C54CEB" w:rsidTr="0086605D">
        <w:tc>
          <w:tcPr>
            <w:tcW w:w="179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Track access to service facilities</w:t>
            </w:r>
          </w:p>
        </w:tc>
        <w:tc>
          <w:tcPr>
            <w:tcW w:w="1813"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b/>
                <w:sz w:val="20"/>
                <w:szCs w:val="20"/>
                <w:lang w:val="en-GB" w:eastAsia="en-US"/>
              </w:rPr>
            </w:pPr>
            <w:r w:rsidRPr="0038644B">
              <w:rPr>
                <w:rFonts w:asciiTheme="minorHAnsi" w:hAnsiTheme="minorHAnsi" w:cs="Times New Roman"/>
                <w:b/>
                <w:sz w:val="20"/>
                <w:szCs w:val="20"/>
                <w:lang w:val="en-GB"/>
              </w:rPr>
              <w:t>Access to marshalling yards and freight terminals</w:t>
            </w:r>
          </w:p>
        </w:tc>
        <w:tc>
          <w:tcPr>
            <w:tcW w:w="1804"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pPr>
              <w:jc w:val="center"/>
              <w:rPr>
                <w:rFonts w:asciiTheme="minorHAnsi" w:hAnsiTheme="minorHAnsi" w:cs="Times New Roman"/>
                <w:sz w:val="20"/>
                <w:szCs w:val="20"/>
                <w:lang w:val="en-GB" w:eastAsia="en-US"/>
              </w:rPr>
            </w:pPr>
            <w:r w:rsidRPr="0038644B">
              <w:rPr>
                <w:rFonts w:asciiTheme="minorHAnsi" w:hAnsiTheme="minorHAnsi" w:cs="Calibri"/>
                <w:sz w:val="20"/>
                <w:lang w:val="en-GB"/>
              </w:rPr>
              <w:t xml:space="preserve">€ </w:t>
            </w:r>
            <w:r w:rsidRPr="0038644B">
              <w:rPr>
                <w:rFonts w:asciiTheme="minorHAnsi" w:hAnsiTheme="minorHAnsi" w:cs="Times New Roman"/>
                <w:sz w:val="20"/>
                <w:szCs w:val="20"/>
                <w:lang w:val="en-GB"/>
              </w:rPr>
              <w:t>per stop</w:t>
            </w:r>
          </w:p>
        </w:tc>
        <w:tc>
          <w:tcPr>
            <w:tcW w:w="1829"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different for passenger and freight transport</w:t>
            </w:r>
          </w:p>
        </w:tc>
        <w:tc>
          <w:tcPr>
            <w:tcW w:w="1797" w:type="dxa"/>
            <w:tcBorders>
              <w:top w:val="single" w:sz="4" w:space="0" w:color="auto"/>
              <w:left w:val="single" w:sz="4" w:space="0" w:color="auto"/>
              <w:bottom w:val="single" w:sz="4" w:space="0" w:color="auto"/>
              <w:right w:val="single" w:sz="4" w:space="0" w:color="auto"/>
            </w:tcBorders>
            <w:vAlign w:val="center"/>
            <w:hideMark/>
          </w:tcPr>
          <w:p w:rsidR="002B647E" w:rsidRPr="0038644B" w:rsidRDefault="002B647E" w:rsidP="0086605D">
            <w:pPr>
              <w:jc w:val="center"/>
              <w:rPr>
                <w:rFonts w:asciiTheme="minorHAnsi" w:hAnsiTheme="minorHAnsi" w:cs="Times New Roman"/>
                <w:sz w:val="20"/>
                <w:szCs w:val="20"/>
                <w:lang w:val="en-GB" w:eastAsia="en-US"/>
              </w:rPr>
            </w:pPr>
            <w:r w:rsidRPr="0038644B">
              <w:rPr>
                <w:rFonts w:asciiTheme="minorHAnsi" w:hAnsiTheme="minorHAnsi" w:cs="Times New Roman"/>
                <w:sz w:val="20"/>
                <w:szCs w:val="20"/>
                <w:lang w:val="en-GB"/>
              </w:rPr>
              <w:t>Variable costs and fixed costs are extracted</w:t>
            </w:r>
          </w:p>
        </w:tc>
      </w:tr>
    </w:tbl>
    <w:p w:rsidR="002B647E" w:rsidRPr="003B2158" w:rsidRDefault="002B647E" w:rsidP="005E0E1E">
      <w:pPr>
        <w:rPr>
          <w:rFonts w:asciiTheme="minorHAnsi" w:hAnsiTheme="minorHAnsi" w:cs="Times New Roman"/>
          <w:sz w:val="22"/>
          <w:szCs w:val="22"/>
          <w:lang w:val="en-US"/>
        </w:rPr>
      </w:pPr>
    </w:p>
    <w:p w:rsidR="00767DA1" w:rsidRPr="00B35F2F" w:rsidRDefault="00767DA1">
      <w:pPr>
        <w:rPr>
          <w:lang w:val="en-GB"/>
        </w:rPr>
      </w:pPr>
      <w:r w:rsidRPr="00B35F2F">
        <w:rPr>
          <w:lang w:val="en-GB"/>
        </w:rPr>
        <w:br w:type="page"/>
      </w:r>
    </w:p>
    <w:p w:rsidR="00222DC8" w:rsidRPr="000A6B0A" w:rsidRDefault="001E3837" w:rsidP="00E561FB">
      <w:pPr>
        <w:pStyle w:val="Titre1"/>
        <w:numPr>
          <w:ilvl w:val="1"/>
          <w:numId w:val="13"/>
        </w:numPr>
        <w:spacing w:line="276" w:lineRule="auto"/>
        <w:jc w:val="both"/>
        <w:rPr>
          <w:rFonts w:asciiTheme="minorHAnsi" w:hAnsiTheme="minorHAnsi"/>
          <w:sz w:val="22"/>
          <w:szCs w:val="22"/>
          <w:lang w:val="en-GB"/>
        </w:rPr>
      </w:pPr>
      <w:bookmarkStart w:id="88" w:name="_Toc461625142"/>
      <w:bookmarkStart w:id="89" w:name="_Toc461625243"/>
      <w:bookmarkStart w:id="90" w:name="_Toc496279038"/>
      <w:r w:rsidRPr="000A6B0A">
        <w:rPr>
          <w:rFonts w:asciiTheme="minorHAnsi" w:hAnsiTheme="minorHAnsi"/>
          <w:sz w:val="22"/>
          <w:szCs w:val="22"/>
          <w:lang w:val="en-GB"/>
        </w:rPr>
        <w:lastRenderedPageBreak/>
        <w:t>Slovenia</w:t>
      </w:r>
      <w:bookmarkEnd w:id="88"/>
      <w:bookmarkEnd w:id="89"/>
      <w:bookmarkEnd w:id="90"/>
      <w:r w:rsidRPr="000A6B0A">
        <w:rPr>
          <w:rFonts w:asciiTheme="minorHAnsi" w:hAnsiTheme="minorHAnsi"/>
          <w:sz w:val="22"/>
          <w:szCs w:val="22"/>
          <w:lang w:val="en-GB"/>
        </w:rPr>
        <w:t xml:space="preserve"> </w:t>
      </w:r>
    </w:p>
    <w:p w:rsidR="00222DC8" w:rsidRPr="000A6B0A" w:rsidRDefault="00222DC8" w:rsidP="00222DC8">
      <w:pPr>
        <w:ind w:left="720"/>
        <w:jc w:val="both"/>
        <w:rPr>
          <w:sz w:val="22"/>
          <w:szCs w:val="22"/>
          <w:lang w:val="en-GB"/>
        </w:rPr>
      </w:pPr>
    </w:p>
    <w:p w:rsidR="00222DC8" w:rsidRPr="000A6B0A" w:rsidRDefault="00222DC8"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In February 2013 the Public Agency for Railway Transport (the allocation and safety authority)</w:t>
      </w:r>
      <w:r w:rsidR="00716577" w:rsidRPr="000A6B0A">
        <w:rPr>
          <w:rFonts w:asciiTheme="minorHAnsi" w:hAnsiTheme="minorHAnsi"/>
          <w:sz w:val="22"/>
          <w:szCs w:val="22"/>
          <w:lang w:val="en-GB"/>
        </w:rPr>
        <w:t>, who is competent for determining and collecting</w:t>
      </w:r>
      <w:r w:rsidRPr="000A6B0A">
        <w:rPr>
          <w:rFonts w:asciiTheme="minorHAnsi" w:hAnsiTheme="minorHAnsi"/>
          <w:sz w:val="22"/>
          <w:szCs w:val="22"/>
          <w:lang w:val="en-GB"/>
        </w:rPr>
        <w:t xml:space="preserve"> track access charges, implemented a new charging methodology, based on direct costs. Track access charges for the minimum access package are calculated considering:</w:t>
      </w:r>
    </w:p>
    <w:p w:rsidR="00222DC8" w:rsidRPr="000A6B0A" w:rsidRDefault="00222DC8" w:rsidP="0086605D">
      <w:pPr>
        <w:pStyle w:val="Paragraphedeliste"/>
        <w:numPr>
          <w:ilvl w:val="0"/>
          <w:numId w:val="2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number of train kilomet</w:t>
      </w:r>
      <w:r w:rsidR="00A56CA1">
        <w:rPr>
          <w:rFonts w:asciiTheme="minorHAnsi" w:hAnsiTheme="minorHAnsi"/>
          <w:sz w:val="22"/>
          <w:szCs w:val="22"/>
          <w:lang w:val="en-GB"/>
        </w:rPr>
        <w:t>r</w:t>
      </w:r>
      <w:r w:rsidRPr="000A6B0A">
        <w:rPr>
          <w:rFonts w:asciiTheme="minorHAnsi" w:hAnsiTheme="minorHAnsi"/>
          <w:sz w:val="22"/>
          <w:szCs w:val="22"/>
          <w:lang w:val="en-GB"/>
        </w:rPr>
        <w:t>es preformed on certain line categories</w:t>
      </w:r>
    </w:p>
    <w:p w:rsidR="00222DC8" w:rsidRPr="000A6B0A" w:rsidRDefault="00222DC8" w:rsidP="0086605D">
      <w:pPr>
        <w:pStyle w:val="Paragraphedeliste"/>
        <w:numPr>
          <w:ilvl w:val="0"/>
          <w:numId w:val="2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type of power car;</w:t>
      </w:r>
    </w:p>
    <w:p w:rsidR="00222DC8" w:rsidRPr="000A6B0A" w:rsidRDefault="00222DC8" w:rsidP="0086605D">
      <w:pPr>
        <w:pStyle w:val="Paragraphedeliste"/>
        <w:numPr>
          <w:ilvl w:val="0"/>
          <w:numId w:val="2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weighting of the line category;</w:t>
      </w:r>
    </w:p>
    <w:p w:rsidR="00222DC8" w:rsidRPr="000A6B0A" w:rsidRDefault="00222DC8" w:rsidP="0086605D">
      <w:pPr>
        <w:pStyle w:val="Paragraphedeliste"/>
        <w:numPr>
          <w:ilvl w:val="0"/>
          <w:numId w:val="2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the coefficient of the power car category;</w:t>
      </w:r>
    </w:p>
    <w:p w:rsidR="00222DC8" w:rsidRPr="000A6B0A" w:rsidRDefault="00222DC8" w:rsidP="0086605D">
      <w:pPr>
        <w:pStyle w:val="Paragraphedeliste"/>
        <w:numPr>
          <w:ilvl w:val="0"/>
          <w:numId w:val="29"/>
        </w:num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cost of supplement / deduction for the type of transport. </w:t>
      </w:r>
    </w:p>
    <w:p w:rsidR="00222DC8" w:rsidRPr="000A6B0A" w:rsidRDefault="00222DC8" w:rsidP="0086605D">
      <w:pPr>
        <w:spacing w:line="276" w:lineRule="auto"/>
        <w:ind w:left="720"/>
        <w:rPr>
          <w:rFonts w:asciiTheme="minorHAnsi" w:hAnsiTheme="minorHAnsi" w:cs="Calibri"/>
          <w:lang w:val="en-GB"/>
        </w:rPr>
      </w:pPr>
    </w:p>
    <w:p w:rsidR="00716577" w:rsidRPr="000A6B0A" w:rsidRDefault="0071657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User </w:t>
      </w:r>
      <w:r w:rsidR="00C417E1">
        <w:rPr>
          <w:rFonts w:asciiTheme="minorHAnsi" w:hAnsiTheme="minorHAnsi"/>
          <w:sz w:val="22"/>
          <w:szCs w:val="22"/>
          <w:lang w:val="en-GB"/>
        </w:rPr>
        <w:t>charges</w:t>
      </w:r>
      <w:r w:rsidR="00C417E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for </w:t>
      </w:r>
      <w:r w:rsidR="00C417E1">
        <w:rPr>
          <w:rFonts w:asciiTheme="minorHAnsi" w:hAnsiTheme="minorHAnsi"/>
          <w:sz w:val="22"/>
          <w:szCs w:val="22"/>
          <w:lang w:val="en-GB"/>
        </w:rPr>
        <w:t xml:space="preserve">the </w:t>
      </w:r>
      <w:r w:rsidRPr="000A6B0A">
        <w:rPr>
          <w:rFonts w:asciiTheme="minorHAnsi" w:hAnsiTheme="minorHAnsi"/>
          <w:sz w:val="22"/>
          <w:szCs w:val="22"/>
          <w:lang w:val="en-GB"/>
        </w:rPr>
        <w:t xml:space="preserve">minimum access package are based on costs, which are directly incurred by train operations. The difference with full costs is subsidized by state funding. To date Slovenia has not taken the decision to introduce </w:t>
      </w:r>
      <w:r w:rsidR="003D789E" w:rsidRPr="000A6B0A">
        <w:rPr>
          <w:rFonts w:asciiTheme="minorHAnsi" w:hAnsiTheme="minorHAnsi"/>
          <w:sz w:val="22"/>
          <w:szCs w:val="22"/>
          <w:lang w:val="en-GB"/>
        </w:rPr>
        <w:t>mark-ups.</w:t>
      </w:r>
    </w:p>
    <w:p w:rsidR="00222DC8" w:rsidRPr="000A6B0A" w:rsidRDefault="00222DC8" w:rsidP="0086605D">
      <w:pPr>
        <w:spacing w:line="276" w:lineRule="auto"/>
        <w:rPr>
          <w:rFonts w:asciiTheme="minorHAnsi" w:hAnsiTheme="minorHAnsi"/>
          <w:sz w:val="22"/>
          <w:szCs w:val="22"/>
          <w:lang w:val="en-GB"/>
        </w:rPr>
      </w:pPr>
    </w:p>
    <w:p w:rsidR="00222DC8" w:rsidRPr="000A6B0A" w:rsidRDefault="00222DC8" w:rsidP="0086605D">
      <w:pPr>
        <w:spacing w:line="276" w:lineRule="auto"/>
        <w:rPr>
          <w:rFonts w:asciiTheme="minorHAnsi" w:hAnsiTheme="minorHAnsi"/>
          <w:sz w:val="22"/>
          <w:szCs w:val="22"/>
          <w:lang w:val="en-GB"/>
        </w:rPr>
      </w:pPr>
      <w:r w:rsidRPr="000A6B0A">
        <w:rPr>
          <w:rFonts w:asciiTheme="minorHAnsi" w:hAnsiTheme="minorHAnsi"/>
          <w:sz w:val="22"/>
          <w:szCs w:val="22"/>
          <w:lang w:val="en-GB"/>
        </w:rPr>
        <w:t>In accordance with Railway Transport Act the allocation authority may establish higher access charges for congested infrastructure under following conditions:</w:t>
      </w:r>
    </w:p>
    <w:p w:rsidR="00C1403C" w:rsidRPr="000A6B0A" w:rsidRDefault="00C1403C" w:rsidP="0086605D">
      <w:pPr>
        <w:spacing w:line="276" w:lineRule="auto"/>
        <w:rPr>
          <w:rFonts w:asciiTheme="minorHAnsi" w:hAnsiTheme="minorHAnsi"/>
          <w:sz w:val="22"/>
          <w:szCs w:val="22"/>
          <w:lang w:val="en-GB"/>
        </w:rPr>
      </w:pPr>
    </w:p>
    <w:p w:rsidR="00222DC8" w:rsidRPr="000A6B0A" w:rsidRDefault="00222DC8" w:rsidP="0086605D">
      <w:pPr>
        <w:pStyle w:val="Paragraphedeliste"/>
        <w:numPr>
          <w:ilvl w:val="0"/>
          <w:numId w:val="30"/>
        </w:numPr>
        <w:spacing w:line="276" w:lineRule="auto"/>
        <w:rPr>
          <w:rFonts w:asciiTheme="minorHAnsi" w:hAnsiTheme="minorHAnsi"/>
          <w:sz w:val="22"/>
          <w:szCs w:val="22"/>
          <w:lang w:val="en-GB"/>
        </w:rPr>
      </w:pPr>
      <w:r w:rsidRPr="000A6B0A">
        <w:rPr>
          <w:rFonts w:asciiTheme="minorHAnsi" w:hAnsiTheme="minorHAnsi"/>
          <w:sz w:val="22"/>
          <w:szCs w:val="22"/>
          <w:lang w:val="en-GB"/>
        </w:rPr>
        <w:t>Allocation authority  def</w:t>
      </w:r>
      <w:r w:rsidR="00BE5533" w:rsidRPr="000A6B0A">
        <w:rPr>
          <w:rFonts w:asciiTheme="minorHAnsi" w:hAnsiTheme="minorHAnsi"/>
          <w:sz w:val="22"/>
          <w:szCs w:val="22"/>
          <w:lang w:val="en-GB"/>
        </w:rPr>
        <w:t>ines track section as congested;</w:t>
      </w:r>
    </w:p>
    <w:p w:rsidR="00222DC8" w:rsidRPr="000A6B0A" w:rsidRDefault="00222DC8" w:rsidP="0086605D">
      <w:pPr>
        <w:pStyle w:val="Paragraphedeliste"/>
        <w:numPr>
          <w:ilvl w:val="0"/>
          <w:numId w:val="30"/>
        </w:numPr>
        <w:spacing w:line="276" w:lineRule="auto"/>
        <w:rPr>
          <w:rFonts w:asciiTheme="minorHAnsi" w:hAnsiTheme="minorHAnsi"/>
          <w:sz w:val="22"/>
          <w:szCs w:val="22"/>
          <w:lang w:val="en-GB"/>
        </w:rPr>
      </w:pPr>
      <w:r w:rsidRPr="000A6B0A">
        <w:rPr>
          <w:rFonts w:asciiTheme="minorHAnsi" w:hAnsiTheme="minorHAnsi"/>
          <w:sz w:val="22"/>
          <w:szCs w:val="22"/>
          <w:lang w:val="en-GB"/>
        </w:rPr>
        <w:t>IM envisaged this situation and pu</w:t>
      </w:r>
      <w:r w:rsidR="00BE5533" w:rsidRPr="000A6B0A">
        <w:rPr>
          <w:rFonts w:asciiTheme="minorHAnsi" w:hAnsiTheme="minorHAnsi"/>
          <w:sz w:val="22"/>
          <w:szCs w:val="22"/>
          <w:lang w:val="en-GB"/>
        </w:rPr>
        <w:t xml:space="preserve">blished in </w:t>
      </w:r>
      <w:r w:rsidR="00C417E1">
        <w:rPr>
          <w:rFonts w:asciiTheme="minorHAnsi" w:hAnsiTheme="minorHAnsi"/>
          <w:sz w:val="22"/>
          <w:szCs w:val="22"/>
          <w:lang w:val="en-GB"/>
        </w:rPr>
        <w:t>the network statement</w:t>
      </w:r>
      <w:r w:rsidR="00BE5533" w:rsidRPr="000A6B0A">
        <w:rPr>
          <w:rFonts w:asciiTheme="minorHAnsi" w:hAnsiTheme="minorHAnsi"/>
          <w:sz w:val="22"/>
          <w:szCs w:val="22"/>
          <w:lang w:val="en-GB"/>
        </w:rPr>
        <w:t>;</w:t>
      </w:r>
    </w:p>
    <w:p w:rsidR="00222DC8" w:rsidRPr="000A6B0A" w:rsidRDefault="00BE5533" w:rsidP="0086605D">
      <w:pPr>
        <w:pStyle w:val="Paragraphedeliste"/>
        <w:numPr>
          <w:ilvl w:val="0"/>
          <w:numId w:val="30"/>
        </w:numPr>
        <w:spacing w:line="276" w:lineRule="auto"/>
        <w:rPr>
          <w:rFonts w:asciiTheme="minorHAnsi" w:hAnsiTheme="minorHAnsi"/>
          <w:sz w:val="22"/>
          <w:szCs w:val="22"/>
          <w:lang w:val="en-GB"/>
        </w:rPr>
      </w:pPr>
      <w:r w:rsidRPr="000A6B0A">
        <w:rPr>
          <w:rFonts w:asciiTheme="minorHAnsi" w:hAnsiTheme="minorHAnsi"/>
          <w:sz w:val="22"/>
          <w:szCs w:val="22"/>
          <w:lang w:val="en-GB"/>
        </w:rPr>
        <w:t>IM prepares enhancement plan;</w:t>
      </w:r>
    </w:p>
    <w:p w:rsidR="00D12890" w:rsidRDefault="00C417E1" w:rsidP="0086605D">
      <w:pPr>
        <w:pStyle w:val="Paragraphedeliste"/>
        <w:numPr>
          <w:ilvl w:val="0"/>
          <w:numId w:val="30"/>
        </w:numPr>
        <w:spacing w:line="276" w:lineRule="auto"/>
        <w:rPr>
          <w:rFonts w:asciiTheme="minorHAnsi" w:hAnsiTheme="minorHAnsi"/>
          <w:sz w:val="22"/>
          <w:szCs w:val="22"/>
          <w:lang w:val="en-GB"/>
        </w:rPr>
      </w:pPr>
      <w:r>
        <w:rPr>
          <w:rFonts w:asciiTheme="minorHAnsi" w:hAnsiTheme="minorHAnsi"/>
          <w:sz w:val="22"/>
          <w:szCs w:val="22"/>
          <w:lang w:val="en-GB"/>
        </w:rPr>
        <w:t>regulatory body</w:t>
      </w:r>
      <w:r w:rsidRPr="000A6B0A">
        <w:rPr>
          <w:rFonts w:asciiTheme="minorHAnsi" w:hAnsiTheme="minorHAnsi"/>
          <w:sz w:val="22"/>
          <w:szCs w:val="22"/>
          <w:lang w:val="en-GB"/>
        </w:rPr>
        <w:t xml:space="preserve"> </w:t>
      </w:r>
      <w:r w:rsidR="00222DC8" w:rsidRPr="000A6B0A">
        <w:rPr>
          <w:rFonts w:asciiTheme="minorHAnsi" w:hAnsiTheme="minorHAnsi"/>
          <w:sz w:val="22"/>
          <w:szCs w:val="22"/>
          <w:lang w:val="en-GB"/>
        </w:rPr>
        <w:t>approves higher access charge.</w:t>
      </w:r>
    </w:p>
    <w:p w:rsidR="00D12890" w:rsidRDefault="00D12890" w:rsidP="0086605D">
      <w:pPr>
        <w:spacing w:line="276" w:lineRule="auto"/>
        <w:jc w:val="both"/>
        <w:rPr>
          <w:rFonts w:asciiTheme="minorHAnsi" w:hAnsiTheme="minorHAnsi"/>
          <w:sz w:val="22"/>
          <w:szCs w:val="22"/>
          <w:lang w:val="en-GB"/>
        </w:rPr>
      </w:pPr>
    </w:p>
    <w:p w:rsidR="00D12890" w:rsidRPr="00D12890" w:rsidRDefault="00D12890" w:rsidP="0086605D">
      <w:pPr>
        <w:spacing w:line="276" w:lineRule="auto"/>
        <w:jc w:val="both"/>
        <w:rPr>
          <w:rFonts w:asciiTheme="minorHAnsi" w:hAnsiTheme="minorHAnsi"/>
          <w:sz w:val="22"/>
          <w:szCs w:val="22"/>
          <w:lang w:val="en-GB"/>
        </w:rPr>
      </w:pPr>
      <w:r w:rsidRPr="00D12890">
        <w:rPr>
          <w:rFonts w:asciiTheme="minorHAnsi" w:hAnsiTheme="minorHAnsi"/>
          <w:sz w:val="22"/>
          <w:szCs w:val="22"/>
          <w:lang w:val="en-GB"/>
        </w:rPr>
        <w:t>By amending Railway Transport Act on 6</w:t>
      </w:r>
      <w:r w:rsidRPr="00D12890">
        <w:rPr>
          <w:rFonts w:asciiTheme="minorHAnsi" w:hAnsiTheme="minorHAnsi"/>
          <w:sz w:val="22"/>
          <w:szCs w:val="22"/>
          <w:vertAlign w:val="superscript"/>
          <w:lang w:val="en-GB"/>
        </w:rPr>
        <w:t>th</w:t>
      </w:r>
      <w:r w:rsidRPr="00D12890">
        <w:rPr>
          <w:rFonts w:asciiTheme="minorHAnsi" w:hAnsiTheme="minorHAnsi"/>
          <w:sz w:val="22"/>
          <w:szCs w:val="22"/>
          <w:lang w:val="en-GB"/>
        </w:rPr>
        <w:t xml:space="preserve"> November 2015, which implemented Recast Directive, all essential functions (included determination of track access charges) were transposed from Public Agency for Railway Transport to Infrastructure manager. It is still not clear when IM will determine new charging scheme. </w:t>
      </w:r>
    </w:p>
    <w:p w:rsidR="00222DC8" w:rsidRPr="00D12890" w:rsidRDefault="00222DC8" w:rsidP="00D12890">
      <w:pPr>
        <w:rPr>
          <w:rFonts w:asciiTheme="minorHAnsi" w:hAnsiTheme="minorHAnsi"/>
          <w:sz w:val="22"/>
          <w:szCs w:val="22"/>
          <w:lang w:val="en-GB"/>
        </w:rPr>
      </w:pPr>
      <w:r w:rsidRPr="00D12890">
        <w:rPr>
          <w:rFonts w:asciiTheme="minorHAnsi" w:hAnsiTheme="minorHAnsi"/>
          <w:sz w:val="22"/>
          <w:szCs w:val="22"/>
          <w:lang w:val="en-GB"/>
        </w:rPr>
        <w:t xml:space="preserve">   </w:t>
      </w:r>
      <w:r w:rsidRPr="00D12890">
        <w:rPr>
          <w:rFonts w:asciiTheme="minorHAnsi" w:hAnsiTheme="minorHAnsi" w:cs="Calibri"/>
          <w:sz w:val="20"/>
          <w:lang w:val="en-GB"/>
        </w:rPr>
        <w:t xml:space="preserve">     </w:t>
      </w:r>
    </w:p>
    <w:p w:rsidR="00222DC8" w:rsidRPr="000A6B0A" w:rsidRDefault="00222DC8" w:rsidP="00B52093">
      <w:pPr>
        <w:pStyle w:val="Titre2"/>
        <w:numPr>
          <w:ilvl w:val="0"/>
          <w:numId w:val="0"/>
        </w:numPr>
        <w:tabs>
          <w:tab w:val="left" w:pos="720"/>
        </w:tabs>
        <w:jc w:val="both"/>
        <w:rPr>
          <w:rFonts w:asciiTheme="minorHAnsi" w:hAnsiTheme="minorHAnsi"/>
          <w:sz w:val="22"/>
          <w:szCs w:val="22"/>
          <w:lang w:val="en-GB"/>
        </w:rPr>
      </w:pPr>
      <w:r w:rsidRPr="000A6B0A" w:rsidDel="00222DC8">
        <w:rPr>
          <w:rFonts w:asciiTheme="minorHAnsi" w:hAnsiTheme="minorHAnsi"/>
          <w:sz w:val="22"/>
          <w:szCs w:val="22"/>
          <w:lang w:val="en-GB"/>
        </w:rPr>
        <w:lastRenderedPageBreak/>
        <w:t xml:space="preserve"> </w:t>
      </w:r>
    </w:p>
    <w:tbl>
      <w:tblPr>
        <w:tblW w:w="8235" w:type="dxa"/>
        <w:jc w:val="center"/>
        <w:tblInd w:w="1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6"/>
        <w:gridCol w:w="1431"/>
        <w:gridCol w:w="2958"/>
        <w:gridCol w:w="2420"/>
      </w:tblGrid>
      <w:tr w:rsidR="002822DF" w:rsidRPr="000A6B0A" w:rsidTr="002822DF">
        <w:trPr>
          <w:jc w:val="center"/>
        </w:trPr>
        <w:tc>
          <w:tcPr>
            <w:tcW w:w="1426"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31"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958"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420" w:type="dxa"/>
            <w:tcBorders>
              <w:top w:val="single" w:sz="4" w:space="0" w:color="auto"/>
              <w:left w:val="single" w:sz="4" w:space="0" w:color="auto"/>
              <w:bottom w:val="single" w:sz="4" w:space="0" w:color="auto"/>
              <w:right w:val="single" w:sz="4" w:space="0" w:color="auto"/>
            </w:tcBorders>
            <w:shd w:val="pct50" w:color="auto" w:fill="auto"/>
            <w:vAlign w:val="center"/>
            <w:hideMark/>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222DC8" w:rsidRPr="00C54CEB" w:rsidTr="002822DF">
        <w:trPr>
          <w:jc w:val="center"/>
        </w:trPr>
        <w:tc>
          <w:tcPr>
            <w:tcW w:w="1426"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Access</w:t>
            </w:r>
          </w:p>
          <w:p w:rsidR="00222DC8" w:rsidRPr="000A6B0A" w:rsidRDefault="00222DC8">
            <w:pPr>
              <w:jc w:val="center"/>
              <w:rPr>
                <w:rFonts w:ascii="Calibri" w:hAnsi="Calibri" w:cs="Calibri"/>
                <w:b/>
                <w:lang w:val="en-GB" w:eastAsia="de-CH"/>
              </w:rPr>
            </w:pPr>
          </w:p>
        </w:tc>
        <w:tc>
          <w:tcPr>
            <w:tcW w:w="1431"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F043FC"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€/train.</w:t>
            </w:r>
            <w:r w:rsidR="00222DC8" w:rsidRPr="000A6B0A">
              <w:rPr>
                <w:rFonts w:ascii="Calibri" w:hAnsi="Calibri" w:cs="Calibri"/>
                <w:sz w:val="20"/>
                <w:lang w:val="en-GB"/>
              </w:rPr>
              <w:t>km</w:t>
            </w:r>
          </w:p>
        </w:tc>
        <w:tc>
          <w:tcPr>
            <w:tcW w:w="2958"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b/>
                <w:sz w:val="20"/>
                <w:lang w:val="en-GB"/>
              </w:rPr>
            </w:pPr>
            <w:r w:rsidRPr="000A6B0A">
              <w:rPr>
                <w:rFonts w:ascii="Calibri" w:hAnsi="Calibri" w:cs="Calibri"/>
                <w:b/>
                <w:sz w:val="20"/>
                <w:lang w:val="en-GB"/>
              </w:rPr>
              <w:t xml:space="preserve"> Line category ( 7):</w:t>
            </w:r>
          </w:p>
          <w:p w:rsidR="00222DC8" w:rsidRPr="000A6B0A" w:rsidRDefault="00222DC8" w:rsidP="0086605D">
            <w:pPr>
              <w:pStyle w:val="Tabellentextrechts"/>
              <w:numPr>
                <w:ilvl w:val="0"/>
                <w:numId w:val="31"/>
              </w:numPr>
              <w:spacing w:before="0" w:after="0"/>
              <w:jc w:val="center"/>
              <w:rPr>
                <w:rFonts w:ascii="Calibri" w:hAnsi="Calibri" w:cs="Calibri"/>
                <w:sz w:val="20"/>
                <w:lang w:val="en-GB"/>
              </w:rPr>
            </w:pPr>
            <w:r w:rsidRPr="000A6B0A">
              <w:rPr>
                <w:rFonts w:ascii="Calibri" w:hAnsi="Calibri" w:cs="Calibri"/>
                <w:sz w:val="20"/>
                <w:lang w:val="en-GB"/>
              </w:rPr>
              <w:t>3 main lines (G1-G3)</w:t>
            </w:r>
          </w:p>
          <w:p w:rsidR="00222DC8" w:rsidRPr="00665463" w:rsidRDefault="00222DC8" w:rsidP="0086605D">
            <w:pPr>
              <w:pStyle w:val="Tabellentextrechts"/>
              <w:numPr>
                <w:ilvl w:val="0"/>
                <w:numId w:val="31"/>
              </w:numPr>
              <w:spacing w:before="0" w:after="0"/>
              <w:jc w:val="center"/>
              <w:rPr>
                <w:rFonts w:ascii="Calibri" w:hAnsi="Calibri" w:cs="Calibri"/>
                <w:sz w:val="20"/>
                <w:lang w:val="en-GB"/>
              </w:rPr>
            </w:pPr>
            <w:r w:rsidRPr="000A6B0A">
              <w:rPr>
                <w:rFonts w:ascii="Calibri" w:hAnsi="Calibri" w:cs="Calibri"/>
                <w:sz w:val="20"/>
                <w:lang w:val="en-GB"/>
              </w:rPr>
              <w:t>4 regional lines (R1-R3)</w:t>
            </w:r>
          </w:p>
        </w:tc>
        <w:tc>
          <w:tcPr>
            <w:tcW w:w="2420" w:type="dxa"/>
            <w:vMerge w:val="restart"/>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sz w:val="20"/>
                <w:lang w:val="en-GB"/>
              </w:rPr>
            </w:pPr>
          </w:p>
          <w:p w:rsidR="00222DC8" w:rsidRPr="000A6B0A" w:rsidRDefault="00222DC8" w:rsidP="0086605D">
            <w:pPr>
              <w:pStyle w:val="Tabellentextrechts"/>
              <w:spacing w:before="0" w:after="0"/>
              <w:jc w:val="center"/>
              <w:rPr>
                <w:rFonts w:ascii="Calibri" w:hAnsi="Calibri" w:cs="Calibri"/>
                <w:sz w:val="20"/>
                <w:lang w:val="en-GB"/>
              </w:rPr>
            </w:pPr>
          </w:p>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 xml:space="preserve">Costs directly incurred by train operations </w:t>
            </w:r>
          </w:p>
          <w:p w:rsidR="00222DC8" w:rsidRPr="000A6B0A" w:rsidRDefault="00222DC8" w:rsidP="0086605D">
            <w:pPr>
              <w:pStyle w:val="Tabellentextrechts"/>
              <w:spacing w:before="0" w:after="0"/>
              <w:jc w:val="center"/>
              <w:rPr>
                <w:rFonts w:ascii="Calibri" w:hAnsi="Calibri" w:cs="Calibri"/>
                <w:sz w:val="20"/>
                <w:lang w:val="en-GB"/>
              </w:rPr>
            </w:pPr>
          </w:p>
        </w:tc>
      </w:tr>
      <w:tr w:rsidR="00222DC8" w:rsidRPr="000A6B0A" w:rsidTr="002822DF">
        <w:trPr>
          <w:jc w:val="center"/>
        </w:trPr>
        <w:tc>
          <w:tcPr>
            <w:tcW w:w="1426"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kopf"/>
              <w:spacing w:before="0" w:after="0"/>
              <w:jc w:val="center"/>
              <w:rPr>
                <w:rFonts w:ascii="Calibri" w:hAnsi="Calibri" w:cs="Calibri"/>
                <w:b/>
                <w:lang w:val="en-GB"/>
              </w:rPr>
            </w:pPr>
            <w:r w:rsidRPr="000A6B0A">
              <w:rPr>
                <w:rFonts w:ascii="Calibri" w:hAnsi="Calibri" w:cs="Calibri"/>
                <w:b/>
                <w:sz w:val="20"/>
                <w:lang w:val="en-GB"/>
              </w:rPr>
              <w:t>Operating</w:t>
            </w:r>
          </w:p>
        </w:tc>
        <w:tc>
          <w:tcPr>
            <w:tcW w:w="1431"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€/train</w:t>
            </w:r>
            <w:r w:rsidR="00F043FC" w:rsidRPr="000A6B0A">
              <w:rPr>
                <w:rFonts w:ascii="Calibri" w:hAnsi="Calibri" w:cs="Calibri"/>
                <w:sz w:val="20"/>
                <w:lang w:val="en-GB"/>
              </w:rPr>
              <w:t>.</w:t>
            </w:r>
            <w:r w:rsidRPr="000A6B0A">
              <w:rPr>
                <w:rFonts w:ascii="Calibri" w:hAnsi="Calibri" w:cs="Calibri"/>
                <w:sz w:val="20"/>
                <w:lang w:val="en-GB"/>
              </w:rPr>
              <w:t>km</w:t>
            </w:r>
          </w:p>
        </w:tc>
        <w:tc>
          <w:tcPr>
            <w:tcW w:w="2958"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b/>
                <w:sz w:val="20"/>
                <w:lang w:val="en-GB"/>
              </w:rPr>
            </w:pPr>
            <w:r w:rsidRPr="000A6B0A">
              <w:rPr>
                <w:rFonts w:ascii="Calibri" w:hAnsi="Calibri" w:cs="Calibri"/>
                <w:b/>
                <w:sz w:val="20"/>
                <w:lang w:val="en-GB"/>
              </w:rPr>
              <w:t>Factor of power car’s (3):</w:t>
            </w:r>
          </w:p>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(A,B,C)</w:t>
            </w:r>
          </w:p>
          <w:p w:rsidR="00222DC8" w:rsidRPr="000A6B0A" w:rsidRDefault="00222DC8" w:rsidP="0086605D">
            <w:pPr>
              <w:pStyle w:val="Tabellentextrechts"/>
              <w:spacing w:before="0" w:after="0"/>
              <w:jc w:val="center"/>
              <w:rPr>
                <w:rFonts w:ascii="Calibri" w:hAnsi="Calibri" w:cs="Calibri"/>
                <w:b/>
                <w:sz w:val="20"/>
                <w:lang w:val="en-GB"/>
              </w:rPr>
            </w:pPr>
            <w:r w:rsidRPr="000A6B0A">
              <w:rPr>
                <w:rFonts w:ascii="Calibri" w:hAnsi="Calibri" w:cs="Calibri"/>
                <w:b/>
                <w:sz w:val="20"/>
                <w:lang w:val="en-GB"/>
              </w:rPr>
              <w:t>Factor of transport type (18):</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up to 1000 t gross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from 1001 to 1500 t gross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from  1501 to 1750 t gross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from 1751 to 2000 t gross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more than 2000 t gross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 empty (less than 100 t net weight)</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Cargo trains (circular, collecting)</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Locomotive trains (empty multiple units, solely running power cars)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Tilting passenger trains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 xml:space="preserve"> Classic passenger trains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Multiple units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Motorail through the Bohinj tunnel</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Other motorails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Empty classic passenger trains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Heritage trains</w:t>
            </w:r>
          </w:p>
          <w:p w:rsidR="00222DC8" w:rsidRPr="000A6B0A" w:rsidRDefault="00222DC8" w:rsidP="0086605D">
            <w:pPr>
              <w:pStyle w:val="Tabellentextrechts"/>
              <w:numPr>
                <w:ilvl w:val="0"/>
                <w:numId w:val="32"/>
              </w:numPr>
              <w:spacing w:before="0" w:after="0"/>
              <w:jc w:val="center"/>
              <w:rPr>
                <w:rFonts w:ascii="Calibri" w:hAnsi="Calibri" w:cs="Calibri"/>
                <w:sz w:val="20"/>
                <w:lang w:val="en-GB"/>
              </w:rPr>
            </w:pPr>
            <w:r w:rsidRPr="000A6B0A">
              <w:rPr>
                <w:rFonts w:ascii="Calibri" w:hAnsi="Calibri" w:cs="Calibri"/>
                <w:sz w:val="20"/>
                <w:lang w:val="en-GB"/>
              </w:rPr>
              <w:t>Service trains (scheduled maintenance)</w:t>
            </w:r>
          </w:p>
          <w:p w:rsidR="00222DC8" w:rsidRPr="000A6B0A" w:rsidRDefault="00222DC8" w:rsidP="0086605D">
            <w:pPr>
              <w:pStyle w:val="Tabellentextrechts"/>
              <w:numPr>
                <w:ilvl w:val="0"/>
                <w:numId w:val="33"/>
              </w:numPr>
              <w:spacing w:before="0" w:after="0"/>
              <w:jc w:val="center"/>
              <w:rPr>
                <w:rFonts w:ascii="Calibri" w:hAnsi="Calibri" w:cs="Calibri"/>
                <w:sz w:val="20"/>
                <w:lang w:val="en-GB"/>
              </w:rPr>
            </w:pPr>
            <w:r w:rsidRPr="000A6B0A">
              <w:rPr>
                <w:rFonts w:ascii="Calibri" w:hAnsi="Calibri" w:cs="Calibri"/>
                <w:sz w:val="20"/>
                <w:lang w:val="en-GB"/>
              </w:rPr>
              <w:t>Service trains (unscheduled maintenance)</w:t>
            </w:r>
          </w:p>
          <w:p w:rsidR="00222DC8" w:rsidRPr="000A6B0A" w:rsidRDefault="00222DC8" w:rsidP="0086605D">
            <w:pPr>
              <w:pStyle w:val="Tabellentextrechts"/>
              <w:numPr>
                <w:ilvl w:val="0"/>
                <w:numId w:val="33"/>
              </w:numPr>
              <w:spacing w:before="0" w:after="0"/>
              <w:jc w:val="center"/>
              <w:rPr>
                <w:rFonts w:ascii="Calibri" w:hAnsi="Calibri" w:cs="Calibri"/>
                <w:sz w:val="20"/>
                <w:lang w:val="en-GB"/>
              </w:rPr>
            </w:pPr>
            <w:r w:rsidRPr="000A6B0A">
              <w:rPr>
                <w:rFonts w:ascii="Calibri" w:hAnsi="Calibri" w:cs="Calibri"/>
                <w:sz w:val="20"/>
                <w:lang w:val="en-GB"/>
              </w:rPr>
              <w:t>Other trains</w:t>
            </w: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pPr>
              <w:rPr>
                <w:rFonts w:ascii="Calibri" w:hAnsi="Calibri" w:cs="Calibri"/>
                <w:sz w:val="20"/>
                <w:szCs w:val="20"/>
                <w:lang w:val="en-GB" w:eastAsia="de-CH"/>
              </w:rPr>
            </w:pPr>
          </w:p>
        </w:tc>
      </w:tr>
      <w:tr w:rsidR="00222DC8" w:rsidRPr="00C54CEB" w:rsidTr="002822DF">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Congestion / Scarcity</w:t>
            </w:r>
          </w:p>
        </w:tc>
        <w:tc>
          <w:tcPr>
            <w:tcW w:w="1431"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€/train</w:t>
            </w:r>
            <w:r w:rsidR="00F043FC" w:rsidRPr="000A6B0A">
              <w:rPr>
                <w:rFonts w:ascii="Calibri" w:hAnsi="Calibri" w:cs="Calibri"/>
                <w:sz w:val="20"/>
                <w:lang w:val="en-GB"/>
              </w:rPr>
              <w:t>.</w:t>
            </w:r>
            <w:r w:rsidRPr="000A6B0A">
              <w:rPr>
                <w:rFonts w:ascii="Calibri" w:hAnsi="Calibri" w:cs="Calibri"/>
                <w:sz w:val="20"/>
                <w:lang w:val="en-GB"/>
              </w:rPr>
              <w:t>km</w:t>
            </w:r>
          </w:p>
        </w:tc>
        <w:tc>
          <w:tcPr>
            <w:tcW w:w="2958"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(In 201</w:t>
            </w:r>
            <w:r w:rsidR="004830BE">
              <w:rPr>
                <w:rFonts w:ascii="Calibri" w:hAnsi="Calibri" w:cs="Calibri"/>
                <w:sz w:val="20"/>
                <w:lang w:val="en-GB"/>
              </w:rPr>
              <w:t>5</w:t>
            </w:r>
            <w:r w:rsidRPr="000A6B0A">
              <w:rPr>
                <w:rFonts w:ascii="Calibri" w:hAnsi="Calibri" w:cs="Calibri"/>
                <w:sz w:val="20"/>
                <w:lang w:val="en-GB"/>
              </w:rPr>
              <w:t xml:space="preserve"> no congested lines were declared)</w:t>
            </w:r>
          </w:p>
        </w:tc>
        <w:tc>
          <w:tcPr>
            <w:tcW w:w="2420"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sz w:val="20"/>
                <w:lang w:val="en-GB"/>
              </w:rPr>
            </w:pPr>
          </w:p>
        </w:tc>
      </w:tr>
      <w:tr w:rsidR="00222DC8" w:rsidRPr="00C54CEB" w:rsidTr="002822DF">
        <w:trPr>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kopf"/>
              <w:spacing w:before="0" w:after="0"/>
              <w:jc w:val="center"/>
              <w:rPr>
                <w:rFonts w:ascii="Calibri" w:hAnsi="Calibri" w:cs="Calibri"/>
                <w:b/>
                <w:sz w:val="20"/>
                <w:lang w:val="en-GB"/>
              </w:rPr>
            </w:pPr>
            <w:r w:rsidRPr="000A6B0A">
              <w:rPr>
                <w:rFonts w:ascii="Calibri" w:hAnsi="Calibri" w:cs="Calibri"/>
                <w:b/>
                <w:sz w:val="20"/>
                <w:lang w:val="en-GB"/>
              </w:rPr>
              <w:t>Late cancellation fees</w:t>
            </w:r>
          </w:p>
        </w:tc>
        <w:tc>
          <w:tcPr>
            <w:tcW w:w="1431"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 of user charge for allocated train path</w:t>
            </w:r>
          </w:p>
          <w:p w:rsidR="00222DC8" w:rsidRPr="000A6B0A" w:rsidRDefault="00222DC8" w:rsidP="0086605D">
            <w:pPr>
              <w:pStyle w:val="Tabellentextrechts"/>
              <w:spacing w:before="0" w:after="0"/>
              <w:jc w:val="center"/>
              <w:rPr>
                <w:rFonts w:ascii="Calibri" w:hAnsi="Calibri" w:cs="Calibri"/>
                <w:sz w:val="20"/>
                <w:lang w:val="en-GB"/>
              </w:rPr>
            </w:pPr>
          </w:p>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(+25 € for ad-hoc train paths)</w:t>
            </w:r>
          </w:p>
        </w:tc>
        <w:tc>
          <w:tcPr>
            <w:tcW w:w="2958" w:type="dxa"/>
            <w:tcBorders>
              <w:top w:val="single" w:sz="4" w:space="0" w:color="auto"/>
              <w:left w:val="single" w:sz="4" w:space="0" w:color="auto"/>
              <w:bottom w:val="single" w:sz="4" w:space="0" w:color="auto"/>
              <w:right w:val="single" w:sz="4" w:space="0" w:color="auto"/>
            </w:tcBorders>
            <w:vAlign w:val="center"/>
            <w:hideMark/>
          </w:tcPr>
          <w:p w:rsidR="00222DC8" w:rsidRPr="000A6B0A" w:rsidRDefault="00222DC8" w:rsidP="0086605D">
            <w:pPr>
              <w:pStyle w:val="Tabellentextrechts"/>
              <w:spacing w:before="0" w:after="0"/>
              <w:jc w:val="center"/>
              <w:rPr>
                <w:rFonts w:ascii="Calibri" w:hAnsi="Calibri" w:cs="Calibri"/>
                <w:sz w:val="20"/>
                <w:lang w:val="en-GB"/>
              </w:rPr>
            </w:pPr>
            <w:r w:rsidRPr="000A6B0A">
              <w:rPr>
                <w:rFonts w:ascii="Calibri" w:hAnsi="Calibri" w:cs="Calibri"/>
                <w:sz w:val="20"/>
                <w:lang w:val="en-GB"/>
              </w:rPr>
              <w:t>Cancellation:</w:t>
            </w:r>
          </w:p>
          <w:p w:rsidR="00222DC8" w:rsidRPr="000A6B0A" w:rsidRDefault="00222DC8" w:rsidP="0086605D">
            <w:pPr>
              <w:pStyle w:val="Tabellentextrechts"/>
              <w:numPr>
                <w:ilvl w:val="0"/>
                <w:numId w:val="34"/>
              </w:numPr>
              <w:spacing w:before="0" w:after="0"/>
              <w:jc w:val="center"/>
              <w:rPr>
                <w:rFonts w:ascii="Calibri" w:hAnsi="Calibri" w:cs="Calibri"/>
                <w:sz w:val="20"/>
                <w:lang w:val="en-GB"/>
              </w:rPr>
            </w:pPr>
            <w:r w:rsidRPr="000A6B0A">
              <w:rPr>
                <w:rFonts w:ascii="Calibri" w:hAnsi="Calibri" w:cs="Calibri"/>
                <w:sz w:val="20"/>
                <w:lang w:val="en-GB"/>
              </w:rPr>
              <w:t>up to 6 hours before scheduled time of departure – FREE</w:t>
            </w:r>
          </w:p>
          <w:p w:rsidR="00222DC8" w:rsidRPr="000A6B0A" w:rsidRDefault="00222DC8" w:rsidP="0086605D">
            <w:pPr>
              <w:pStyle w:val="Tabellentextrechts"/>
              <w:numPr>
                <w:ilvl w:val="0"/>
                <w:numId w:val="34"/>
              </w:numPr>
              <w:spacing w:before="0" w:after="0"/>
              <w:jc w:val="center"/>
              <w:rPr>
                <w:rFonts w:ascii="Calibri" w:hAnsi="Calibri" w:cs="Calibri"/>
                <w:sz w:val="20"/>
                <w:lang w:val="en-GB"/>
              </w:rPr>
            </w:pPr>
            <w:r w:rsidRPr="000A6B0A">
              <w:rPr>
                <w:rFonts w:ascii="Calibri" w:hAnsi="Calibri" w:cs="Calibri"/>
                <w:sz w:val="20"/>
                <w:lang w:val="en-GB"/>
              </w:rPr>
              <w:t>less than 6 hours before scheduled time of departure – 50% of user charge</w:t>
            </w:r>
          </w:p>
          <w:p w:rsidR="00222DC8" w:rsidRPr="000A6B0A" w:rsidRDefault="00222DC8" w:rsidP="0086605D">
            <w:pPr>
              <w:pStyle w:val="Tabellentextrechts"/>
              <w:numPr>
                <w:ilvl w:val="0"/>
                <w:numId w:val="34"/>
              </w:numPr>
              <w:spacing w:before="0" w:after="0"/>
              <w:jc w:val="center"/>
              <w:rPr>
                <w:rFonts w:ascii="Calibri" w:hAnsi="Calibri" w:cs="Calibri"/>
                <w:sz w:val="20"/>
                <w:lang w:val="en-GB"/>
              </w:rPr>
            </w:pPr>
            <w:r w:rsidRPr="000A6B0A">
              <w:rPr>
                <w:rFonts w:ascii="Calibri" w:hAnsi="Calibri" w:cs="Calibri"/>
                <w:sz w:val="20"/>
                <w:lang w:val="en-GB"/>
              </w:rPr>
              <w:t>not cancelled / train does not run – 100%</w:t>
            </w:r>
          </w:p>
        </w:tc>
        <w:tc>
          <w:tcPr>
            <w:tcW w:w="2420" w:type="dxa"/>
            <w:tcBorders>
              <w:top w:val="single" w:sz="4" w:space="0" w:color="auto"/>
              <w:left w:val="single" w:sz="4" w:space="0" w:color="auto"/>
              <w:bottom w:val="single" w:sz="4" w:space="0" w:color="auto"/>
              <w:right w:val="single" w:sz="4" w:space="0" w:color="auto"/>
            </w:tcBorders>
            <w:vAlign w:val="center"/>
          </w:tcPr>
          <w:p w:rsidR="00222DC8" w:rsidRPr="000A6B0A" w:rsidRDefault="00222DC8" w:rsidP="0086605D">
            <w:pPr>
              <w:pStyle w:val="Tabellentextrechts"/>
              <w:spacing w:before="0" w:after="0"/>
              <w:jc w:val="center"/>
              <w:rPr>
                <w:rFonts w:ascii="Calibri" w:hAnsi="Calibri" w:cs="Calibri"/>
                <w:sz w:val="20"/>
                <w:lang w:val="en-GB"/>
              </w:rPr>
            </w:pPr>
          </w:p>
        </w:tc>
      </w:tr>
    </w:tbl>
    <w:p w:rsidR="001E3837" w:rsidRPr="000A6B0A" w:rsidRDefault="001E3837" w:rsidP="00E561FB">
      <w:pPr>
        <w:pStyle w:val="Titre1"/>
        <w:numPr>
          <w:ilvl w:val="1"/>
          <w:numId w:val="13"/>
        </w:numPr>
        <w:spacing w:line="276" w:lineRule="auto"/>
        <w:jc w:val="both"/>
        <w:rPr>
          <w:rFonts w:asciiTheme="minorHAnsi" w:hAnsiTheme="minorHAnsi"/>
          <w:sz w:val="22"/>
          <w:szCs w:val="22"/>
          <w:lang w:val="en-GB"/>
        </w:rPr>
      </w:pPr>
      <w:r w:rsidRPr="000A6B0A">
        <w:rPr>
          <w:rFonts w:asciiTheme="minorHAnsi" w:hAnsiTheme="minorHAnsi" w:cs="Calibri"/>
          <w:b w:val="0"/>
          <w:smallCaps/>
          <w:sz w:val="24"/>
          <w:szCs w:val="24"/>
          <w:u w:val="single"/>
          <w:lang w:val="en-GB"/>
        </w:rPr>
        <w:br w:type="page"/>
      </w:r>
      <w:bookmarkStart w:id="91" w:name="_Toc461625143"/>
      <w:bookmarkStart w:id="92" w:name="_Toc461625244"/>
      <w:bookmarkStart w:id="93" w:name="_Toc496279039"/>
      <w:r w:rsidRPr="000A6B0A">
        <w:rPr>
          <w:rFonts w:asciiTheme="minorHAnsi" w:hAnsiTheme="minorHAnsi"/>
          <w:sz w:val="22"/>
          <w:szCs w:val="22"/>
          <w:lang w:val="en-GB"/>
        </w:rPr>
        <w:lastRenderedPageBreak/>
        <w:t>Spain</w:t>
      </w:r>
      <w:bookmarkEnd w:id="91"/>
      <w:bookmarkEnd w:id="92"/>
      <w:bookmarkEnd w:id="93"/>
    </w:p>
    <w:p w:rsidR="001E3837" w:rsidRPr="000A6B0A" w:rsidRDefault="001E3837" w:rsidP="00AD6775">
      <w:pPr>
        <w:rPr>
          <w:rFonts w:asciiTheme="minorHAnsi" w:hAnsiTheme="minorHAnsi"/>
          <w:b/>
          <w:sz w:val="22"/>
          <w:szCs w:val="22"/>
          <w:lang w:val="en-GB"/>
        </w:rPr>
      </w:pPr>
    </w:p>
    <w:p w:rsidR="004D3B5C" w:rsidRPr="000A6B0A" w:rsidRDefault="004D3B5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In Spain, the chosen charging system is based on a two part tariff (while the fixed part of the fee is very low).  </w:t>
      </w:r>
    </w:p>
    <w:p w:rsidR="004D3B5C" w:rsidRPr="000A6B0A" w:rsidRDefault="004D3B5C" w:rsidP="0086605D">
      <w:pPr>
        <w:spacing w:line="276" w:lineRule="auto"/>
        <w:jc w:val="both"/>
        <w:rPr>
          <w:rFonts w:asciiTheme="minorHAnsi" w:hAnsiTheme="minorHAnsi"/>
          <w:sz w:val="22"/>
          <w:szCs w:val="22"/>
          <w:lang w:val="en-GB"/>
        </w:rPr>
      </w:pPr>
    </w:p>
    <w:p w:rsidR="004D3B5C" w:rsidRPr="000A6B0A" w:rsidRDefault="004D3B5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For </w:t>
      </w:r>
      <w:r w:rsidR="00F043FC" w:rsidRPr="000A6B0A">
        <w:rPr>
          <w:rFonts w:asciiTheme="minorHAnsi" w:hAnsiTheme="minorHAnsi"/>
          <w:sz w:val="22"/>
          <w:szCs w:val="22"/>
          <w:lang w:val="en-GB"/>
        </w:rPr>
        <w:t xml:space="preserve">the </w:t>
      </w:r>
      <w:r w:rsidRPr="000A6B0A">
        <w:rPr>
          <w:rFonts w:asciiTheme="minorHAnsi" w:hAnsiTheme="minorHAnsi"/>
          <w:sz w:val="22"/>
          <w:szCs w:val="22"/>
          <w:lang w:val="en-GB"/>
        </w:rPr>
        <w:t>rail network, the minimum access package is based on train-kilomet</w:t>
      </w:r>
      <w:r w:rsidR="00A56CA1">
        <w:rPr>
          <w:rFonts w:asciiTheme="minorHAnsi" w:hAnsiTheme="minorHAnsi"/>
          <w:sz w:val="22"/>
          <w:szCs w:val="22"/>
          <w:lang w:val="en-GB"/>
        </w:rPr>
        <w:t>r</w:t>
      </w:r>
      <w:r w:rsidRPr="000A6B0A">
        <w:rPr>
          <w:rFonts w:asciiTheme="minorHAnsi" w:hAnsiTheme="minorHAnsi"/>
          <w:sz w:val="22"/>
          <w:szCs w:val="22"/>
          <w:lang w:val="en-GB"/>
        </w:rPr>
        <w:t>es and includes operating charges and reservation charges.   According to the new railway law, the reservation charge provide</w:t>
      </w:r>
      <w:r w:rsidR="00C417E1">
        <w:rPr>
          <w:rFonts w:asciiTheme="minorHAnsi" w:hAnsiTheme="minorHAnsi"/>
          <w:sz w:val="22"/>
          <w:szCs w:val="22"/>
          <w:lang w:val="en-GB"/>
        </w:rPr>
        <w:t>s</w:t>
      </w:r>
      <w:r w:rsidRPr="000A6B0A">
        <w:rPr>
          <w:rFonts w:asciiTheme="minorHAnsi" w:hAnsiTheme="minorHAnsi"/>
          <w:sz w:val="22"/>
          <w:szCs w:val="22"/>
          <w:lang w:val="en-GB"/>
        </w:rPr>
        <w:t xml:space="preserve"> incentives for efficient use of capacity, foreseeing a penalization for the capacity reserved and not used.</w:t>
      </w:r>
    </w:p>
    <w:p w:rsidR="004D3B5C" w:rsidRPr="000A6B0A" w:rsidRDefault="004D3B5C" w:rsidP="0086605D">
      <w:pPr>
        <w:spacing w:line="276" w:lineRule="auto"/>
        <w:jc w:val="both"/>
        <w:rPr>
          <w:rFonts w:asciiTheme="minorHAnsi" w:hAnsiTheme="minorHAnsi"/>
          <w:sz w:val="22"/>
          <w:szCs w:val="22"/>
          <w:lang w:val="en-GB"/>
        </w:rPr>
      </w:pPr>
    </w:p>
    <w:p w:rsidR="004D3B5C" w:rsidRPr="000A6B0A" w:rsidRDefault="004D3B5C"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IM cost accounting model is based on a </w:t>
      </w:r>
      <w:r w:rsidRPr="000A6B0A">
        <w:rPr>
          <w:rFonts w:asciiTheme="minorHAnsi" w:hAnsiTheme="minorHAnsi"/>
          <w:i/>
          <w:sz w:val="22"/>
          <w:szCs w:val="22"/>
          <w:lang w:val="en-GB"/>
        </w:rPr>
        <w:t>top down</w:t>
      </w:r>
      <w:r w:rsidRPr="000A6B0A">
        <w:rPr>
          <w:rFonts w:asciiTheme="minorHAnsi" w:hAnsiTheme="minorHAnsi"/>
          <w:sz w:val="22"/>
          <w:szCs w:val="22"/>
          <w:lang w:val="en-GB"/>
        </w:rPr>
        <w:t xml:space="preserve"> fully distributed cost, because the main goal of the charging</w:t>
      </w:r>
      <w:r w:rsidR="00F043FC" w:rsidRPr="000A6B0A">
        <w:rPr>
          <w:rFonts w:asciiTheme="minorHAnsi" w:hAnsiTheme="minorHAnsi"/>
          <w:sz w:val="22"/>
          <w:szCs w:val="22"/>
          <w:lang w:val="en-GB"/>
        </w:rPr>
        <w:t xml:space="preserve"> system is full “cost recovery”.  H</w:t>
      </w:r>
      <w:r w:rsidRPr="000A6B0A">
        <w:rPr>
          <w:rFonts w:asciiTheme="minorHAnsi" w:hAnsiTheme="minorHAnsi"/>
          <w:sz w:val="22"/>
          <w:szCs w:val="22"/>
          <w:lang w:val="en-GB"/>
        </w:rPr>
        <w:t>owever</w:t>
      </w:r>
      <w:r w:rsidR="00F043FC" w:rsidRPr="000A6B0A">
        <w:rPr>
          <w:rFonts w:asciiTheme="minorHAnsi" w:hAnsiTheme="minorHAnsi"/>
          <w:sz w:val="22"/>
          <w:szCs w:val="22"/>
          <w:lang w:val="en-GB"/>
        </w:rPr>
        <w:t>,</w:t>
      </w:r>
      <w:r w:rsidRPr="000A6B0A">
        <w:rPr>
          <w:rFonts w:asciiTheme="minorHAnsi" w:hAnsiTheme="minorHAnsi"/>
          <w:sz w:val="22"/>
          <w:szCs w:val="22"/>
          <w:lang w:val="en-GB"/>
        </w:rPr>
        <w:t xml:space="preserve"> nowadays</w:t>
      </w:r>
      <w:r w:rsidR="00F043FC" w:rsidRPr="000A6B0A">
        <w:rPr>
          <w:rFonts w:asciiTheme="minorHAnsi" w:hAnsiTheme="minorHAnsi"/>
          <w:sz w:val="22"/>
          <w:szCs w:val="22"/>
          <w:lang w:val="en-GB"/>
        </w:rPr>
        <w:t>,</w:t>
      </w:r>
      <w:r w:rsidRPr="000A6B0A">
        <w:rPr>
          <w:rFonts w:asciiTheme="minorHAnsi" w:hAnsiTheme="minorHAnsi"/>
          <w:sz w:val="22"/>
          <w:szCs w:val="22"/>
          <w:lang w:val="en-GB"/>
        </w:rPr>
        <w:t xml:space="preserve"> this </w:t>
      </w:r>
      <w:r w:rsidR="00F043FC" w:rsidRPr="000A6B0A">
        <w:rPr>
          <w:rFonts w:asciiTheme="minorHAnsi" w:hAnsiTheme="minorHAnsi"/>
          <w:sz w:val="22"/>
          <w:szCs w:val="22"/>
          <w:lang w:val="en-GB"/>
        </w:rPr>
        <w:t>objective</w:t>
      </w:r>
      <w:r w:rsidRPr="000A6B0A">
        <w:rPr>
          <w:rFonts w:asciiTheme="minorHAnsi" w:hAnsiTheme="minorHAnsi"/>
          <w:sz w:val="22"/>
          <w:szCs w:val="22"/>
          <w:lang w:val="en-GB"/>
        </w:rPr>
        <w:t xml:space="preserve"> is only feasible for high speed lines due to the operational deficit of the conventional network.</w:t>
      </w:r>
    </w:p>
    <w:p w:rsidR="004D3B5C" w:rsidRPr="000A6B0A" w:rsidRDefault="004D3B5C" w:rsidP="004D3B5C">
      <w:pPr>
        <w:ind w:left="720"/>
        <w:jc w:val="both"/>
        <w:rPr>
          <w:rFonts w:asciiTheme="minorHAnsi" w:hAnsiTheme="minorHAnsi"/>
          <w:sz w:val="22"/>
          <w:szCs w:val="22"/>
          <w:lang w:val="en-GB"/>
        </w:rPr>
      </w:pPr>
    </w:p>
    <w:p w:rsidR="004D3B5C" w:rsidRPr="000A6B0A" w:rsidRDefault="004D3B5C" w:rsidP="004D3B5C">
      <w:pPr>
        <w:jc w:val="both"/>
        <w:rPr>
          <w:rFonts w:asciiTheme="minorHAnsi" w:hAnsiTheme="minorHAnsi"/>
          <w:sz w:val="22"/>
          <w:szCs w:val="22"/>
          <w:lang w:val="en-GB"/>
        </w:rPr>
      </w:pPr>
    </w:p>
    <w:p w:rsidR="004D3B5C" w:rsidRPr="000A6B0A" w:rsidRDefault="004D3B5C" w:rsidP="004D3B5C">
      <w:pPr>
        <w:ind w:left="720"/>
        <w:rPr>
          <w:rFonts w:asciiTheme="minorHAnsi" w:hAnsiTheme="minorHAnsi" w:cs="Calibri"/>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276"/>
        <w:gridCol w:w="3049"/>
        <w:gridCol w:w="2340"/>
      </w:tblGrid>
      <w:tr w:rsidR="004D3B5C" w:rsidRPr="000A6B0A" w:rsidTr="003262BF">
        <w:trPr>
          <w:jc w:val="center"/>
        </w:trPr>
        <w:tc>
          <w:tcPr>
            <w:tcW w:w="1310" w:type="dxa"/>
            <w:shd w:val="pct50" w:color="auto" w:fill="auto"/>
            <w:vAlign w:val="center"/>
          </w:tcPr>
          <w:p w:rsidR="004D3B5C" w:rsidRPr="000A6B0A" w:rsidRDefault="004D3B5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276" w:type="dxa"/>
            <w:shd w:val="pct50" w:color="auto" w:fill="auto"/>
            <w:vAlign w:val="center"/>
          </w:tcPr>
          <w:p w:rsidR="004D3B5C" w:rsidRPr="000A6B0A" w:rsidRDefault="004D3B5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3049" w:type="dxa"/>
            <w:shd w:val="pct50" w:color="auto" w:fill="auto"/>
            <w:vAlign w:val="center"/>
          </w:tcPr>
          <w:p w:rsidR="004D3B5C" w:rsidRPr="000A6B0A" w:rsidRDefault="004D3B5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4D3B5C" w:rsidRPr="000A6B0A" w:rsidRDefault="004D3B5C"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4D3B5C" w:rsidRPr="00C54CEB" w:rsidTr="003262BF">
        <w:trPr>
          <w:jc w:val="center"/>
        </w:trPr>
        <w:tc>
          <w:tcPr>
            <w:tcW w:w="1310" w:type="dxa"/>
            <w:vAlign w:val="center"/>
          </w:tcPr>
          <w:p w:rsidR="004D3B5C" w:rsidRPr="000A6B0A" w:rsidRDefault="004D3B5C">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Access charge</w:t>
            </w:r>
          </w:p>
        </w:tc>
        <w:tc>
          <w:tcPr>
            <w:tcW w:w="1276"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€/year</w:t>
            </w:r>
          </w:p>
        </w:tc>
        <w:tc>
          <w:tcPr>
            <w:tcW w:w="3049"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Total Annual Train-km running</w:t>
            </w:r>
          </w:p>
        </w:tc>
        <w:tc>
          <w:tcPr>
            <w:tcW w:w="2340" w:type="dxa"/>
            <w:vAlign w:val="center"/>
          </w:tcPr>
          <w:p w:rsidR="004D3B5C" w:rsidRPr="000A6B0A" w:rsidRDefault="004D3B5C" w:rsidP="0086605D">
            <w:pPr>
              <w:pStyle w:val="Tabellentextrechts"/>
              <w:spacing w:before="0" w:after="0"/>
              <w:ind w:right="0"/>
              <w:jc w:val="center"/>
              <w:rPr>
                <w:rFonts w:asciiTheme="minorHAnsi" w:hAnsiTheme="minorHAnsi" w:cs="Calibri"/>
                <w:sz w:val="20"/>
                <w:lang w:val="en-GB"/>
              </w:rPr>
            </w:pPr>
            <w:r w:rsidRPr="000A6B0A">
              <w:rPr>
                <w:rFonts w:asciiTheme="minorHAnsi" w:hAnsiTheme="minorHAnsi" w:cs="Calibri"/>
                <w:sz w:val="20"/>
                <w:lang w:val="en-GB"/>
              </w:rPr>
              <w:t>Administrative costs related to the relationship of the IM with RUs.  E g. the publication of the Network Statement, or the process of network capacity allocation.</w:t>
            </w:r>
          </w:p>
        </w:tc>
      </w:tr>
      <w:tr w:rsidR="004D3B5C" w:rsidRPr="00C54CEB" w:rsidTr="003262BF">
        <w:trPr>
          <w:jc w:val="center"/>
        </w:trPr>
        <w:tc>
          <w:tcPr>
            <w:tcW w:w="1310" w:type="dxa"/>
            <w:vAlign w:val="center"/>
          </w:tcPr>
          <w:p w:rsidR="004D3B5C" w:rsidRPr="000A6B0A" w:rsidRDefault="004D3B5C">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Reservation</w:t>
            </w:r>
          </w:p>
          <w:p w:rsidR="004D3B5C" w:rsidRPr="000A6B0A" w:rsidRDefault="004D3B5C">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eastAsia="de-CH"/>
              </w:rPr>
              <w:t>charge</w:t>
            </w:r>
          </w:p>
        </w:tc>
        <w:tc>
          <w:tcPr>
            <w:tcW w:w="1276"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path.km</w:t>
            </w:r>
          </w:p>
        </w:tc>
        <w:tc>
          <w:tcPr>
            <w:tcW w:w="3049"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Period of the day (3)</w:t>
            </w:r>
          </w:p>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Route category (4)</w:t>
            </w:r>
          </w:p>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Type of service/train (4)</w:t>
            </w:r>
          </w:p>
          <w:p w:rsidR="004D3B5C" w:rsidRPr="000A6B0A" w:rsidRDefault="004D3B5C" w:rsidP="0086605D">
            <w:pPr>
              <w:pStyle w:val="Tabellentextrechts"/>
              <w:spacing w:before="0" w:after="0"/>
              <w:jc w:val="center"/>
              <w:rPr>
                <w:rFonts w:asciiTheme="minorHAnsi" w:hAnsiTheme="minorHAnsi" w:cs="Calibri"/>
                <w:sz w:val="20"/>
                <w:lang w:val="en-GB"/>
              </w:rPr>
            </w:pPr>
          </w:p>
        </w:tc>
        <w:tc>
          <w:tcPr>
            <w:tcW w:w="2340"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Fixed cost for operating and maintenance.</w:t>
            </w:r>
          </w:p>
        </w:tc>
      </w:tr>
      <w:tr w:rsidR="004D3B5C" w:rsidRPr="00C54CEB" w:rsidTr="003262BF">
        <w:trPr>
          <w:jc w:val="center"/>
        </w:trPr>
        <w:tc>
          <w:tcPr>
            <w:tcW w:w="1310" w:type="dxa"/>
            <w:vAlign w:val="center"/>
          </w:tcPr>
          <w:p w:rsidR="004D3B5C" w:rsidRPr="000A6B0A" w:rsidRDefault="004D3B5C"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Running charge</w:t>
            </w:r>
          </w:p>
          <w:p w:rsidR="004D3B5C" w:rsidRPr="000A6B0A" w:rsidRDefault="004D3B5C">
            <w:pPr>
              <w:jc w:val="center"/>
              <w:rPr>
                <w:rFonts w:asciiTheme="minorHAnsi" w:hAnsiTheme="minorHAnsi" w:cs="Calibri"/>
                <w:b/>
                <w:sz w:val="20"/>
                <w:szCs w:val="20"/>
                <w:lang w:val="en-GB" w:eastAsia="de-CH"/>
              </w:rPr>
            </w:pPr>
          </w:p>
        </w:tc>
        <w:tc>
          <w:tcPr>
            <w:tcW w:w="1276"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€/train</w:t>
            </w:r>
            <w:r w:rsidR="00F043FC" w:rsidRPr="000A6B0A">
              <w:rPr>
                <w:rFonts w:asciiTheme="minorHAnsi" w:hAnsiTheme="minorHAnsi" w:cs="Calibri"/>
                <w:sz w:val="20"/>
                <w:lang w:val="en-GB"/>
              </w:rPr>
              <w:t>.</w:t>
            </w:r>
            <w:r w:rsidRPr="000A6B0A">
              <w:rPr>
                <w:rFonts w:asciiTheme="minorHAnsi" w:hAnsiTheme="minorHAnsi" w:cs="Calibri"/>
                <w:sz w:val="20"/>
                <w:lang w:val="en-GB"/>
              </w:rPr>
              <w:t>km</w:t>
            </w:r>
          </w:p>
        </w:tc>
        <w:tc>
          <w:tcPr>
            <w:tcW w:w="3049"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Route category (4)</w:t>
            </w:r>
          </w:p>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Type of service/train (4)</w:t>
            </w:r>
          </w:p>
          <w:p w:rsidR="004D3B5C" w:rsidRPr="000A6B0A" w:rsidRDefault="004D3B5C" w:rsidP="0086605D">
            <w:pPr>
              <w:pStyle w:val="Tabellentextrechts"/>
              <w:spacing w:before="0" w:after="0"/>
              <w:jc w:val="center"/>
              <w:rPr>
                <w:rFonts w:asciiTheme="minorHAnsi" w:hAnsiTheme="minorHAnsi" w:cs="Calibri"/>
                <w:sz w:val="20"/>
                <w:lang w:val="en-GB"/>
              </w:rPr>
            </w:pPr>
          </w:p>
        </w:tc>
        <w:tc>
          <w:tcPr>
            <w:tcW w:w="2340"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Variable cost for operating and maintenance.</w:t>
            </w:r>
          </w:p>
        </w:tc>
      </w:tr>
      <w:tr w:rsidR="004D3B5C" w:rsidRPr="000A6B0A" w:rsidTr="003262BF">
        <w:trPr>
          <w:jc w:val="center"/>
        </w:trPr>
        <w:tc>
          <w:tcPr>
            <w:tcW w:w="1310" w:type="dxa"/>
            <w:vAlign w:val="center"/>
          </w:tcPr>
          <w:p w:rsidR="004D3B5C" w:rsidRPr="000A6B0A" w:rsidRDefault="004D3B5C"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Traffic charge</w:t>
            </w:r>
          </w:p>
        </w:tc>
        <w:tc>
          <w:tcPr>
            <w:tcW w:w="1276" w:type="dxa"/>
            <w:vAlign w:val="center"/>
          </w:tcPr>
          <w:p w:rsidR="004D3B5C" w:rsidRPr="000A6B0A" w:rsidRDefault="004D3B5C"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sz w:val="20"/>
                <w:lang w:val="en-GB"/>
              </w:rPr>
              <w:t>€/seats</w:t>
            </w:r>
            <w:r w:rsidR="00F043FC" w:rsidRPr="000A6B0A">
              <w:rPr>
                <w:rFonts w:asciiTheme="minorHAnsi" w:hAnsiTheme="minorHAnsi" w:cs="Calibri"/>
                <w:sz w:val="20"/>
                <w:lang w:val="en-GB"/>
              </w:rPr>
              <w:t>.</w:t>
            </w:r>
            <w:r w:rsidRPr="000A6B0A">
              <w:rPr>
                <w:rFonts w:asciiTheme="minorHAnsi" w:hAnsiTheme="minorHAnsi" w:cs="Calibri"/>
                <w:sz w:val="20"/>
                <w:lang w:val="en-GB"/>
              </w:rPr>
              <w:t>km offered</w:t>
            </w:r>
          </w:p>
        </w:tc>
        <w:tc>
          <w:tcPr>
            <w:tcW w:w="3049" w:type="dxa"/>
            <w:vAlign w:val="center"/>
          </w:tcPr>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Period of the day (3)</w:t>
            </w:r>
          </w:p>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Route category (4)</w:t>
            </w:r>
          </w:p>
          <w:p w:rsidR="004D3B5C" w:rsidRPr="000A6B0A" w:rsidRDefault="004D3B5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Type of service/train (only HST)</w:t>
            </w:r>
          </w:p>
        </w:tc>
        <w:tc>
          <w:tcPr>
            <w:tcW w:w="2340" w:type="dxa"/>
            <w:vAlign w:val="center"/>
          </w:tcPr>
          <w:p w:rsidR="004D3B5C" w:rsidRPr="000A6B0A" w:rsidRDefault="004D3B5C" w:rsidP="0086605D">
            <w:pPr>
              <w:pStyle w:val="Tabellentextrechts"/>
              <w:spacing w:before="0" w:after="0"/>
              <w:jc w:val="center"/>
              <w:rPr>
                <w:rFonts w:asciiTheme="minorHAnsi" w:hAnsiTheme="minorHAnsi" w:cs="Calibri"/>
                <w:b/>
                <w:sz w:val="20"/>
                <w:lang w:val="en-GB"/>
              </w:rPr>
            </w:pPr>
            <w:r w:rsidRPr="000A6B0A">
              <w:rPr>
                <w:rFonts w:asciiTheme="minorHAnsi" w:hAnsiTheme="minorHAnsi" w:cs="Calibri"/>
                <w:sz w:val="20"/>
                <w:lang w:val="en-GB"/>
              </w:rPr>
              <w:t>Amortization and financial cost</w:t>
            </w:r>
          </w:p>
        </w:tc>
      </w:tr>
    </w:tbl>
    <w:p w:rsidR="001E3837" w:rsidRPr="000A6B0A" w:rsidRDefault="004D3B5C" w:rsidP="00AC5C05">
      <w:pPr>
        <w:autoSpaceDE w:val="0"/>
        <w:autoSpaceDN w:val="0"/>
        <w:adjustRightInd w:val="0"/>
        <w:ind w:left="720"/>
        <w:rPr>
          <w:rFonts w:asciiTheme="minorHAnsi" w:hAnsiTheme="minorHAnsi" w:cs="Calibri"/>
          <w:sz w:val="24"/>
          <w:szCs w:val="24"/>
          <w:lang w:val="en-GB"/>
        </w:rPr>
      </w:pPr>
      <w:r w:rsidRPr="000A6B0A">
        <w:rPr>
          <w:rFonts w:asciiTheme="minorHAnsi" w:hAnsiTheme="minorHAnsi" w:cs="Calibri"/>
          <w:b/>
          <w:smallCaps/>
          <w:sz w:val="24"/>
          <w:szCs w:val="24"/>
          <w:u w:val="single"/>
          <w:lang w:val="en-GB"/>
        </w:rPr>
        <w:br w:type="page"/>
      </w:r>
    </w:p>
    <w:p w:rsidR="0011196E" w:rsidRPr="000A6B0A" w:rsidRDefault="0011196E" w:rsidP="00E561FB">
      <w:pPr>
        <w:pStyle w:val="Titre1"/>
        <w:numPr>
          <w:ilvl w:val="1"/>
          <w:numId w:val="13"/>
        </w:numPr>
        <w:spacing w:line="276" w:lineRule="auto"/>
        <w:jc w:val="both"/>
        <w:rPr>
          <w:rFonts w:asciiTheme="minorHAnsi" w:hAnsiTheme="minorHAnsi"/>
          <w:sz w:val="22"/>
          <w:szCs w:val="22"/>
          <w:lang w:val="en-GB"/>
        </w:rPr>
      </w:pPr>
      <w:bookmarkStart w:id="94" w:name="_Toc461625144"/>
      <w:bookmarkStart w:id="95" w:name="_Toc461625245"/>
      <w:bookmarkStart w:id="96" w:name="_Toc496279040"/>
      <w:r w:rsidRPr="000A6B0A">
        <w:rPr>
          <w:rFonts w:asciiTheme="minorHAnsi" w:hAnsiTheme="minorHAnsi"/>
          <w:sz w:val="22"/>
          <w:szCs w:val="22"/>
          <w:lang w:val="en-GB"/>
        </w:rPr>
        <w:lastRenderedPageBreak/>
        <w:t>Sweden</w:t>
      </w:r>
      <w:bookmarkEnd w:id="94"/>
      <w:bookmarkEnd w:id="95"/>
      <w:bookmarkEnd w:id="96"/>
    </w:p>
    <w:p w:rsidR="0011196E" w:rsidRPr="000A6B0A" w:rsidRDefault="0011196E" w:rsidP="0011196E">
      <w:pPr>
        <w:rPr>
          <w:rFonts w:asciiTheme="minorHAnsi" w:hAnsiTheme="minorHAnsi"/>
          <w:b/>
          <w:sz w:val="22"/>
          <w:szCs w:val="22"/>
          <w:lang w:val="en-GB"/>
        </w:rPr>
      </w:pP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charges for the minimum package of access services are based on the short-term marginal cost of operation, maintenance and reinvestments and charged according to use per kilometre, gross tonne-kilometre and passages. </w:t>
      </w: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The track charge is based on gross tonne-kilometres, and is imposed at varying amounts for both freight traffic and service trains, and for passenger traffic. From 2016 </w:t>
      </w:r>
      <w:r w:rsidR="00C417E1">
        <w:rPr>
          <w:rFonts w:asciiTheme="minorHAnsi" w:hAnsiTheme="minorHAnsi"/>
          <w:sz w:val="22"/>
          <w:szCs w:val="22"/>
          <w:lang w:val="en-GB"/>
        </w:rPr>
        <w:t>t</w:t>
      </w:r>
      <w:r w:rsidRPr="000A6B0A">
        <w:rPr>
          <w:rFonts w:asciiTheme="minorHAnsi" w:hAnsiTheme="minorHAnsi"/>
          <w:sz w:val="22"/>
          <w:szCs w:val="22"/>
          <w:lang w:val="en-GB"/>
        </w:rPr>
        <w:t xml:space="preserve">rack charges </w:t>
      </w:r>
      <w:r w:rsidR="00C417E1">
        <w:rPr>
          <w:rFonts w:asciiTheme="minorHAnsi" w:hAnsiTheme="minorHAnsi"/>
          <w:sz w:val="22"/>
          <w:szCs w:val="22"/>
          <w:lang w:val="en-GB"/>
        </w:rPr>
        <w:t>have been</w:t>
      </w:r>
      <w:r w:rsidR="00C417E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levied in different amounts depending on the maximum admissible axle load (STAX) of the train. Trains with a higher STAX thus pay a higher track charge. STAX is an important parameter that reflects the wear and tear that is caused by a train. Differentiated track charges reflect variations in wear and tear between different trains. </w:t>
      </w: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The train path charge</w:t>
      </w:r>
      <w:r w:rsidR="00082371" w:rsidRPr="000A6B0A">
        <w:rPr>
          <w:rFonts w:asciiTheme="minorHAnsi" w:hAnsiTheme="minorHAnsi"/>
          <w:sz w:val="22"/>
          <w:szCs w:val="22"/>
          <w:lang w:val="en-GB"/>
        </w:rPr>
        <w:t>s</w:t>
      </w:r>
      <w:r w:rsidRPr="000A6B0A">
        <w:rPr>
          <w:rFonts w:asciiTheme="minorHAnsi" w:hAnsiTheme="minorHAnsi"/>
          <w:sz w:val="22"/>
          <w:szCs w:val="22"/>
          <w:lang w:val="en-GB"/>
        </w:rPr>
        <w:t xml:space="preserve"> are levied at three levels. Passage charge</w:t>
      </w:r>
      <w:r w:rsidR="00082371" w:rsidRPr="000A6B0A">
        <w:rPr>
          <w:rFonts w:asciiTheme="minorHAnsi" w:hAnsiTheme="minorHAnsi"/>
          <w:sz w:val="22"/>
          <w:szCs w:val="22"/>
          <w:lang w:val="en-GB"/>
        </w:rPr>
        <w:t>s</w:t>
      </w:r>
      <w:r w:rsidRPr="000A6B0A">
        <w:rPr>
          <w:rFonts w:asciiTheme="minorHAnsi" w:hAnsiTheme="minorHAnsi"/>
          <w:sz w:val="22"/>
          <w:szCs w:val="22"/>
          <w:lang w:val="en-GB"/>
        </w:rPr>
        <w:t xml:space="preserve"> are levied in three major cities during rush hours on weekdays. The emissions charge is based on the socioeconomic costs in terms of environmental and health effects. The size of the charge depends partly on the engine's environmental classification and partly on the amount of fuel consumed.</w:t>
      </w:r>
    </w:p>
    <w:p w:rsidR="00603222" w:rsidRPr="000A6B0A" w:rsidRDefault="00603222" w:rsidP="0086605D">
      <w:pPr>
        <w:autoSpaceDE w:val="0"/>
        <w:autoSpaceDN w:val="0"/>
        <w:adjustRightInd w:val="0"/>
        <w:spacing w:line="276" w:lineRule="auto"/>
        <w:jc w:val="both"/>
        <w:rPr>
          <w:rFonts w:asciiTheme="minorHAnsi" w:hAnsiTheme="minorHAnsi"/>
          <w:sz w:val="22"/>
          <w:szCs w:val="22"/>
          <w:lang w:val="en-GB"/>
        </w:rPr>
      </w:pPr>
    </w:p>
    <w:p w:rsidR="0011196E" w:rsidRPr="000A6B0A" w:rsidRDefault="00603222" w:rsidP="0086605D">
      <w:pPr>
        <w:autoSpaceDE w:val="0"/>
        <w:autoSpaceDN w:val="0"/>
        <w:adjustRightInd w:val="0"/>
        <w:spacing w:line="276" w:lineRule="auto"/>
        <w:jc w:val="both"/>
        <w:rPr>
          <w:rFonts w:asciiTheme="minorHAnsi" w:hAnsiTheme="minorHAnsi"/>
          <w:sz w:val="22"/>
          <w:szCs w:val="22"/>
          <w:lang w:val="en-GB"/>
        </w:rPr>
      </w:pPr>
      <w:r w:rsidRPr="000A6B0A">
        <w:rPr>
          <w:rFonts w:asciiTheme="minorHAnsi" w:hAnsiTheme="minorHAnsi"/>
          <w:sz w:val="22"/>
          <w:szCs w:val="22"/>
          <w:lang w:val="en-GB"/>
        </w:rPr>
        <w:t>In the case of allocated capacity for train paths cancelled by railway undertakings or traffic organisers, a reservation charge is imposed.</w:t>
      </w:r>
    </w:p>
    <w:p w:rsidR="00603222" w:rsidRPr="000A6B0A" w:rsidRDefault="00603222" w:rsidP="00603222">
      <w:pPr>
        <w:autoSpaceDE w:val="0"/>
        <w:autoSpaceDN w:val="0"/>
        <w:adjustRightInd w:val="0"/>
        <w:ind w:left="720"/>
        <w:rPr>
          <w:rFonts w:asciiTheme="minorHAnsi" w:hAnsiTheme="minorHAnsi" w:cs="Calibri"/>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1418"/>
        <w:gridCol w:w="2907"/>
        <w:gridCol w:w="2340"/>
      </w:tblGrid>
      <w:tr w:rsidR="002822DF" w:rsidRPr="000A6B0A" w:rsidTr="00EA5C43">
        <w:trPr>
          <w:jc w:val="center"/>
        </w:trPr>
        <w:tc>
          <w:tcPr>
            <w:tcW w:w="131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Charge</w:t>
            </w:r>
          </w:p>
        </w:tc>
        <w:tc>
          <w:tcPr>
            <w:tcW w:w="1418"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907"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340" w:type="dxa"/>
            <w:shd w:val="pct50" w:color="auto" w:fill="auto"/>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11196E" w:rsidRPr="00C54CEB" w:rsidTr="00EA5C43">
        <w:trPr>
          <w:jc w:val="center"/>
        </w:trPr>
        <w:tc>
          <w:tcPr>
            <w:tcW w:w="1310" w:type="dxa"/>
            <w:vAlign w:val="center"/>
          </w:tcPr>
          <w:p w:rsidR="0011196E" w:rsidRPr="000A6B0A" w:rsidRDefault="00F043FC">
            <w:pPr>
              <w:rPr>
                <w:rFonts w:asciiTheme="minorHAnsi" w:hAnsiTheme="minorHAnsi" w:cs="Calibri"/>
                <w:b/>
                <w:sz w:val="20"/>
                <w:szCs w:val="20"/>
                <w:lang w:val="en-GB"/>
              </w:rPr>
            </w:pPr>
            <w:r w:rsidRPr="000A6B0A">
              <w:rPr>
                <w:rFonts w:asciiTheme="minorHAnsi" w:hAnsiTheme="minorHAnsi" w:cs="Calibri"/>
                <w:b/>
                <w:sz w:val="20"/>
                <w:szCs w:val="20"/>
                <w:lang w:val="en-GB"/>
              </w:rPr>
              <w:t>Access &amp; Operating Charges (m</w:t>
            </w:r>
            <w:r w:rsidR="0011196E" w:rsidRPr="000A6B0A">
              <w:rPr>
                <w:rFonts w:asciiTheme="minorHAnsi" w:hAnsiTheme="minorHAnsi" w:cs="Calibri"/>
                <w:b/>
                <w:sz w:val="20"/>
                <w:szCs w:val="20"/>
                <w:lang w:val="en-GB"/>
              </w:rPr>
              <w:t>arginal cost)</w:t>
            </w: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r w:rsidRPr="000A6B0A">
              <w:rPr>
                <w:rFonts w:asciiTheme="minorHAnsi" w:hAnsiTheme="minorHAnsi" w:cs="Calibri"/>
                <w:b/>
                <w:sz w:val="20"/>
                <w:szCs w:val="20"/>
                <w:lang w:val="en-GB"/>
              </w:rPr>
              <w:t>Track charge</w:t>
            </w: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r w:rsidRPr="000A6B0A">
              <w:rPr>
                <w:rFonts w:asciiTheme="minorHAnsi" w:hAnsiTheme="minorHAnsi" w:cs="Calibri"/>
                <w:b/>
                <w:sz w:val="20"/>
                <w:szCs w:val="20"/>
                <w:lang w:val="en-GB"/>
              </w:rPr>
              <w:t>Emission charge</w:t>
            </w:r>
          </w:p>
          <w:p w:rsidR="0011196E" w:rsidRPr="000A6B0A" w:rsidRDefault="0011196E">
            <w:pPr>
              <w:jc w:val="center"/>
              <w:rPr>
                <w:rFonts w:asciiTheme="minorHAnsi" w:hAnsiTheme="minorHAnsi" w:cs="Calibri"/>
                <w:b/>
                <w:sz w:val="20"/>
                <w:szCs w:val="20"/>
                <w:lang w:val="en-GB" w:eastAsia="de-CH"/>
              </w:rPr>
            </w:pPr>
          </w:p>
        </w:tc>
        <w:tc>
          <w:tcPr>
            <w:tcW w:w="1418" w:type="dxa"/>
            <w:vAlign w:val="center"/>
          </w:tcPr>
          <w:p w:rsidR="0011196E" w:rsidRPr="000A6B0A" w:rsidRDefault="00F043FC"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€/gross tonne.</w:t>
            </w:r>
            <w:r w:rsidR="0011196E" w:rsidRPr="000A6B0A">
              <w:rPr>
                <w:rFonts w:asciiTheme="minorHAnsi" w:hAnsiTheme="minorHAnsi" w:cs="Calibri"/>
                <w:sz w:val="20"/>
                <w:lang w:val="en-GB"/>
              </w:rPr>
              <w:t>km</w:t>
            </w:r>
          </w:p>
          <w:p w:rsidR="0011196E" w:rsidRPr="000A6B0A" w:rsidRDefault="0011196E" w:rsidP="0086605D">
            <w:pPr>
              <w:pStyle w:val="Tabellentextrechts"/>
              <w:spacing w:before="0" w:after="0"/>
              <w:jc w:val="center"/>
              <w:rPr>
                <w:rFonts w:asciiTheme="minorHAnsi" w:hAnsiTheme="minorHAnsi" w:cs="Calibri"/>
                <w:sz w:val="20"/>
                <w:lang w:val="en-GB"/>
              </w:rPr>
            </w:pPr>
          </w:p>
          <w:p w:rsidR="00F043FC" w:rsidRPr="000A6B0A" w:rsidRDefault="00F043FC"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w:t>
            </w:r>
            <w:r w:rsidR="00791E18">
              <w:rPr>
                <w:rFonts w:asciiTheme="minorHAnsi" w:hAnsiTheme="minorHAnsi" w:cs="Calibri"/>
                <w:sz w:val="20"/>
                <w:lang w:val="en-GB"/>
              </w:rPr>
              <w:t>or</w:t>
            </w:r>
            <w:r w:rsidRPr="000A6B0A">
              <w:rPr>
                <w:rFonts w:asciiTheme="minorHAnsi" w:hAnsiTheme="minorHAnsi" w:cs="Calibri"/>
                <w:sz w:val="20"/>
                <w:lang w:val="en-GB"/>
              </w:rPr>
              <w:t xml:space="preserve"> 201</w:t>
            </w:r>
            <w:r w:rsidR="00791E18">
              <w:rPr>
                <w:rFonts w:asciiTheme="minorHAnsi" w:hAnsiTheme="minorHAnsi" w:cs="Calibri"/>
                <w:sz w:val="20"/>
                <w:lang w:val="en-GB"/>
              </w:rPr>
              <w:t>8</w:t>
            </w:r>
            <w:r w:rsidRPr="000A6B0A">
              <w:rPr>
                <w:rFonts w:asciiTheme="minorHAnsi" w:hAnsiTheme="minorHAnsi" w:cs="Calibri"/>
                <w:sz w:val="20"/>
                <w:lang w:val="en-GB"/>
              </w:rPr>
              <w:t>:</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Factor 0.9-1.1 depending on maximum axle load</w:t>
            </w: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F043FC" w:rsidRPr="000A6B0A" w:rsidRDefault="00F043FC"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€/litre of diesel fuel</w:t>
            </w:r>
          </w:p>
        </w:tc>
        <w:tc>
          <w:tcPr>
            <w:tcW w:w="2907"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Passenger, service or freight traffic</w:t>
            </w: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791E18" w:rsidRPr="0019119A" w:rsidRDefault="00791E18" w:rsidP="0086605D">
            <w:pPr>
              <w:pStyle w:val="Tabellentextrechts"/>
              <w:spacing w:before="0" w:after="0"/>
              <w:jc w:val="center"/>
              <w:rPr>
                <w:rFonts w:asciiTheme="minorHAnsi" w:hAnsiTheme="minorHAnsi" w:cs="Calibri"/>
                <w:sz w:val="20"/>
                <w:lang w:val="en-GB"/>
              </w:rPr>
            </w:pPr>
            <w:r w:rsidRPr="0019119A">
              <w:rPr>
                <w:rFonts w:asciiTheme="minorHAnsi" w:hAnsiTheme="minorHAnsi" w:cs="Calibri"/>
                <w:sz w:val="20"/>
                <w:lang w:val="en-GB"/>
              </w:rPr>
              <w:t xml:space="preserve">Freight traffic and service trains </w:t>
            </w:r>
            <w:r w:rsidRPr="0019119A">
              <w:rPr>
                <w:rFonts w:ascii="Calibri" w:hAnsi="Calibri" w:cs="Calibri"/>
                <w:sz w:val="16"/>
                <w:lang w:val="en-GB"/>
              </w:rPr>
              <w:t>≤</w:t>
            </w:r>
            <w:r w:rsidRPr="0019119A">
              <w:rPr>
                <w:rFonts w:asciiTheme="minorHAnsi" w:hAnsiTheme="minorHAnsi" w:cs="Calibri"/>
                <w:sz w:val="20"/>
                <w:lang w:val="en-GB"/>
              </w:rPr>
              <w:t xml:space="preserve">20 tonne / </w:t>
            </w:r>
            <w:r w:rsidRPr="0019119A">
              <w:rPr>
                <w:sz w:val="18"/>
                <w:szCs w:val="18"/>
                <w:lang w:val="en-GB" w:eastAsia="de-DE"/>
              </w:rPr>
              <w:t xml:space="preserve">&gt; 20 </w:t>
            </w:r>
            <w:r w:rsidRPr="0019119A">
              <w:rPr>
                <w:rFonts w:asciiTheme="minorHAnsi" w:hAnsiTheme="minorHAnsi" w:cs="Calibri"/>
                <w:sz w:val="20"/>
                <w:lang w:val="en-GB"/>
              </w:rPr>
              <w:t xml:space="preserve">tonne ≤ 22,5 ton / </w:t>
            </w:r>
            <w:r w:rsidRPr="0019119A">
              <w:rPr>
                <w:rFonts w:asciiTheme="minorHAnsi" w:hAnsiTheme="minorHAnsi" w:cs="Calibri"/>
                <w:sz w:val="18"/>
                <w:lang w:val="en-GB"/>
              </w:rPr>
              <w:t>&gt;</w:t>
            </w:r>
            <w:r w:rsidRPr="0019119A">
              <w:rPr>
                <w:rFonts w:asciiTheme="minorHAnsi" w:hAnsiTheme="minorHAnsi" w:cs="Calibri"/>
                <w:sz w:val="20"/>
                <w:lang w:val="en-GB"/>
              </w:rPr>
              <w:t>22,5-≤25 tonne &gt; 25 tonne</w:t>
            </w:r>
          </w:p>
          <w:p w:rsidR="0011196E" w:rsidRPr="0019119A" w:rsidRDefault="0011196E" w:rsidP="0086605D">
            <w:pPr>
              <w:pStyle w:val="Tabellentextrechts"/>
              <w:spacing w:before="0" w:after="0"/>
              <w:jc w:val="center"/>
              <w:rPr>
                <w:rFonts w:asciiTheme="minorHAnsi" w:hAnsiTheme="minorHAnsi" w:cs="Calibri"/>
                <w:sz w:val="20"/>
                <w:lang w:val="en-GB"/>
              </w:rPr>
            </w:pPr>
            <w:r w:rsidRPr="0019119A">
              <w:rPr>
                <w:rFonts w:asciiTheme="minorHAnsi" w:hAnsiTheme="minorHAnsi" w:cs="Calibri"/>
                <w:sz w:val="20"/>
                <w:lang w:val="en-GB"/>
              </w:rPr>
              <w:t xml:space="preserve">Passenger traffic </w:t>
            </w:r>
            <w:r w:rsidRPr="0019119A">
              <w:rPr>
                <w:rFonts w:asciiTheme="minorHAnsi" w:hAnsiTheme="minorHAnsi" w:cs="Calibri"/>
                <w:sz w:val="20"/>
                <w:lang w:val="en-GB"/>
              </w:rPr>
              <w:br/>
              <w:t>&lt;20 tonne/&gt;20 tonne</w:t>
            </w:r>
          </w:p>
          <w:p w:rsidR="0011196E" w:rsidRPr="0019119A" w:rsidRDefault="0011196E" w:rsidP="0086605D">
            <w:pPr>
              <w:pStyle w:val="Tabellentextrechts"/>
              <w:spacing w:before="0" w:after="0"/>
              <w:jc w:val="center"/>
              <w:rPr>
                <w:rFonts w:asciiTheme="minorHAnsi" w:hAnsiTheme="minorHAnsi" w:cs="Calibri"/>
                <w:sz w:val="20"/>
                <w:lang w:val="en-GB"/>
              </w:rPr>
            </w:pPr>
          </w:p>
          <w:p w:rsidR="0011196E" w:rsidRPr="0019119A" w:rsidRDefault="0011196E" w:rsidP="0086605D">
            <w:pPr>
              <w:pStyle w:val="Tabellentextrechts"/>
              <w:spacing w:before="0" w:after="0"/>
              <w:jc w:val="center"/>
              <w:rPr>
                <w:rFonts w:asciiTheme="minorHAnsi" w:hAnsiTheme="minorHAnsi" w:cs="Calibri"/>
                <w:sz w:val="20"/>
                <w:lang w:val="en-GB"/>
              </w:rPr>
            </w:pPr>
          </w:p>
          <w:p w:rsidR="0011196E" w:rsidRPr="0019119A" w:rsidRDefault="0011196E" w:rsidP="0086605D">
            <w:pPr>
              <w:pStyle w:val="Tabellentextrechts"/>
              <w:spacing w:before="0" w:after="0"/>
              <w:jc w:val="center"/>
              <w:rPr>
                <w:rFonts w:asciiTheme="minorHAnsi" w:hAnsiTheme="minorHAnsi" w:cs="Calibri"/>
                <w:sz w:val="20"/>
                <w:lang w:val="en-GB"/>
              </w:rPr>
            </w:pPr>
          </w:p>
          <w:p w:rsidR="0011196E" w:rsidRPr="0019119A" w:rsidRDefault="0011196E" w:rsidP="0086605D">
            <w:pPr>
              <w:pStyle w:val="Tabellentextrechts"/>
              <w:spacing w:before="0" w:after="0"/>
              <w:jc w:val="center"/>
              <w:rPr>
                <w:rFonts w:asciiTheme="minorHAnsi" w:hAnsiTheme="minorHAnsi" w:cs="Calibri"/>
                <w:sz w:val="20"/>
                <w:lang w:val="en-GB"/>
              </w:rPr>
            </w:pPr>
          </w:p>
          <w:p w:rsidR="0011196E" w:rsidRPr="0019119A" w:rsidRDefault="0011196E" w:rsidP="0086605D">
            <w:pPr>
              <w:pStyle w:val="Tabellentextrechts"/>
              <w:spacing w:before="0" w:after="0"/>
              <w:jc w:val="center"/>
              <w:rPr>
                <w:rFonts w:asciiTheme="minorHAnsi" w:hAnsiTheme="minorHAnsi" w:cs="Calibri"/>
                <w:sz w:val="20"/>
                <w:lang w:val="en-GB"/>
              </w:rPr>
            </w:pPr>
            <w:r w:rsidRPr="0019119A">
              <w:rPr>
                <w:rFonts w:asciiTheme="minorHAnsi" w:hAnsiTheme="minorHAnsi" w:cs="Calibri"/>
                <w:sz w:val="20"/>
                <w:lang w:val="en-GB"/>
              </w:rPr>
              <w:t>Train type (diesel engine)</w:t>
            </w:r>
          </w:p>
        </w:tc>
        <w:tc>
          <w:tcPr>
            <w:tcW w:w="2340"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Maintenance, operation and reinvestment cost and socio- economical costs of environmental and health effects</w:t>
            </w:r>
          </w:p>
        </w:tc>
      </w:tr>
      <w:tr w:rsidR="0011196E" w:rsidRPr="00C54CEB" w:rsidTr="00EA5C43">
        <w:trPr>
          <w:jc w:val="center"/>
        </w:trPr>
        <w:tc>
          <w:tcPr>
            <w:tcW w:w="1310" w:type="dxa"/>
            <w:vAlign w:val="center"/>
          </w:tcPr>
          <w:p w:rsidR="0011196E" w:rsidRPr="000A6B0A" w:rsidRDefault="0011196E">
            <w:pPr>
              <w:jc w:val="center"/>
              <w:rPr>
                <w:rFonts w:asciiTheme="minorHAnsi" w:hAnsiTheme="minorHAnsi" w:cs="Calibri"/>
                <w:b/>
                <w:sz w:val="20"/>
                <w:szCs w:val="20"/>
                <w:lang w:val="en-GB"/>
              </w:rPr>
            </w:pPr>
            <w:r w:rsidRPr="000A6B0A">
              <w:rPr>
                <w:rFonts w:asciiTheme="minorHAnsi" w:hAnsiTheme="minorHAnsi" w:cs="Calibri"/>
                <w:b/>
                <w:sz w:val="20"/>
                <w:szCs w:val="20"/>
                <w:lang w:val="en-GB"/>
              </w:rPr>
              <w:t>Train path</w:t>
            </w:r>
          </w:p>
          <w:p w:rsidR="0011196E" w:rsidRPr="000A6B0A" w:rsidRDefault="0011196E">
            <w:pPr>
              <w:jc w:val="center"/>
              <w:rPr>
                <w:rFonts w:asciiTheme="minorHAnsi" w:hAnsiTheme="minorHAnsi" w:cs="Calibri"/>
                <w:b/>
                <w:sz w:val="20"/>
                <w:szCs w:val="20"/>
                <w:lang w:val="en-GB"/>
              </w:rPr>
            </w:pPr>
            <w:r w:rsidRPr="000A6B0A">
              <w:rPr>
                <w:rFonts w:asciiTheme="minorHAnsi" w:hAnsiTheme="minorHAnsi" w:cs="Calibri"/>
                <w:b/>
                <w:sz w:val="20"/>
                <w:szCs w:val="20"/>
                <w:lang w:val="en-GB"/>
              </w:rPr>
              <w:t>(also marginal cost)</w:t>
            </w: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rPr>
            </w:pPr>
            <w:r w:rsidRPr="000A6B0A">
              <w:rPr>
                <w:rFonts w:asciiTheme="minorHAnsi" w:hAnsiTheme="minorHAnsi" w:cs="Calibri"/>
                <w:b/>
                <w:sz w:val="20"/>
                <w:szCs w:val="20"/>
                <w:lang w:val="en-GB"/>
              </w:rPr>
              <w:lastRenderedPageBreak/>
              <w:t>Passage charge</w:t>
            </w:r>
          </w:p>
          <w:p w:rsidR="0011196E" w:rsidRPr="000A6B0A" w:rsidRDefault="0011196E">
            <w:pPr>
              <w:jc w:val="center"/>
              <w:rPr>
                <w:rFonts w:asciiTheme="minorHAnsi" w:hAnsiTheme="minorHAnsi" w:cs="Calibri"/>
                <w:b/>
                <w:sz w:val="20"/>
                <w:szCs w:val="20"/>
                <w:lang w:val="en-GB"/>
              </w:rPr>
            </w:pPr>
          </w:p>
          <w:p w:rsidR="0011196E" w:rsidRPr="000A6B0A" w:rsidRDefault="0011196E">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rPr>
              <w:t>Passage charge</w:t>
            </w:r>
          </w:p>
        </w:tc>
        <w:tc>
          <w:tcPr>
            <w:tcW w:w="1418"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lastRenderedPageBreak/>
              <w:t>€/train –km</w:t>
            </w: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F043FC" w:rsidRPr="000A6B0A" w:rsidRDefault="00F043FC"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per crossing</w:t>
            </w: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lastRenderedPageBreak/>
              <w:t>per passage</w:t>
            </w:r>
          </w:p>
        </w:tc>
        <w:tc>
          <w:tcPr>
            <w:tcW w:w="2907" w:type="dxa"/>
            <w:vAlign w:val="center"/>
          </w:tcPr>
          <w:p w:rsidR="0011196E" w:rsidRPr="000A6B0A" w:rsidRDefault="0011196E">
            <w:pPr>
              <w:jc w:val="center"/>
              <w:rPr>
                <w:rFonts w:asciiTheme="minorHAnsi" w:hAnsiTheme="minorHAnsi" w:cs="Calibri"/>
                <w:sz w:val="20"/>
                <w:szCs w:val="20"/>
                <w:lang w:val="en-GB"/>
              </w:rPr>
            </w:pPr>
            <w:r w:rsidRPr="000A6B0A">
              <w:rPr>
                <w:rFonts w:asciiTheme="minorHAnsi" w:hAnsiTheme="minorHAnsi" w:cs="Calibri"/>
                <w:sz w:val="20"/>
                <w:szCs w:val="20"/>
                <w:lang w:val="en-GB"/>
              </w:rPr>
              <w:lastRenderedPageBreak/>
              <w:t>Passenger, freight, service traffic</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Route categories</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(high, medium and base)</w:t>
            </w: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Freight traffic Öresund link</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Stockholm, Gothenburg and</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lastRenderedPageBreak/>
              <w:t>Malmö during peak hours</w:t>
            </w:r>
          </w:p>
        </w:tc>
        <w:tc>
          <w:tcPr>
            <w:tcW w:w="2340"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Special project</w:t>
            </w:r>
          </w:p>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Part of fixed cost of infra</w:t>
            </w:r>
          </w:p>
        </w:tc>
      </w:tr>
      <w:tr w:rsidR="0011196E" w:rsidRPr="000A6B0A" w:rsidTr="00EA5C43">
        <w:trPr>
          <w:jc w:val="center"/>
        </w:trPr>
        <w:tc>
          <w:tcPr>
            <w:tcW w:w="1310" w:type="dxa"/>
            <w:vAlign w:val="center"/>
          </w:tcPr>
          <w:p w:rsidR="0011196E" w:rsidRPr="000A6B0A" w:rsidRDefault="0011196E">
            <w:pPr>
              <w:jc w:val="center"/>
              <w:rPr>
                <w:rFonts w:asciiTheme="minorHAnsi" w:hAnsiTheme="minorHAnsi" w:cs="Calibri"/>
                <w:b/>
                <w:sz w:val="20"/>
                <w:szCs w:val="20"/>
                <w:lang w:val="en-GB" w:eastAsia="de-CH"/>
              </w:rPr>
            </w:pPr>
            <w:r w:rsidRPr="000A6B0A">
              <w:rPr>
                <w:rFonts w:asciiTheme="minorHAnsi" w:hAnsiTheme="minorHAnsi" w:cs="Calibri"/>
                <w:b/>
                <w:sz w:val="20"/>
                <w:szCs w:val="20"/>
                <w:lang w:val="en-GB"/>
              </w:rPr>
              <w:lastRenderedPageBreak/>
              <w:t>Quality charges</w:t>
            </w:r>
          </w:p>
        </w:tc>
        <w:tc>
          <w:tcPr>
            <w:tcW w:w="1418"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€/minute of additional delay</w:t>
            </w:r>
          </w:p>
        </w:tc>
        <w:tc>
          <w:tcPr>
            <w:tcW w:w="2907" w:type="dxa"/>
            <w:vAlign w:val="center"/>
          </w:tcPr>
          <w:p w:rsidR="0011196E" w:rsidRPr="000A6B0A" w:rsidRDefault="009617E5"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IM</w:t>
            </w:r>
            <w:r w:rsidR="0011196E" w:rsidRPr="000A6B0A">
              <w:rPr>
                <w:rFonts w:asciiTheme="minorHAnsi" w:hAnsiTheme="minorHAnsi" w:cs="Calibri"/>
                <w:sz w:val="20"/>
                <w:lang w:val="en-GB"/>
              </w:rPr>
              <w:t xml:space="preserve"> and railway undertakings</w:t>
            </w:r>
          </w:p>
        </w:tc>
        <w:tc>
          <w:tcPr>
            <w:tcW w:w="2340" w:type="dxa"/>
            <w:vAlign w:val="center"/>
          </w:tcPr>
          <w:p w:rsidR="0011196E" w:rsidRPr="000A6B0A" w:rsidRDefault="0011196E" w:rsidP="0086605D">
            <w:pPr>
              <w:pStyle w:val="Tabellentextrechts"/>
              <w:spacing w:before="0" w:after="0"/>
              <w:jc w:val="center"/>
              <w:rPr>
                <w:rFonts w:asciiTheme="minorHAnsi" w:hAnsiTheme="minorHAnsi" w:cs="Calibri"/>
                <w:sz w:val="20"/>
                <w:lang w:val="en-GB"/>
              </w:rPr>
            </w:pPr>
          </w:p>
        </w:tc>
      </w:tr>
    </w:tbl>
    <w:p w:rsidR="0011196E" w:rsidRPr="000A6B0A" w:rsidRDefault="0011196E" w:rsidP="0011196E">
      <w:pPr>
        <w:autoSpaceDE w:val="0"/>
        <w:autoSpaceDN w:val="0"/>
        <w:adjustRightInd w:val="0"/>
        <w:ind w:left="720"/>
        <w:rPr>
          <w:rFonts w:asciiTheme="minorHAnsi" w:hAnsiTheme="minorHAnsi" w:cs="Calibri"/>
          <w:sz w:val="24"/>
          <w:szCs w:val="24"/>
          <w:lang w:val="en-GB"/>
        </w:rPr>
      </w:pPr>
    </w:p>
    <w:p w:rsidR="00BE5533" w:rsidRPr="000A6B0A" w:rsidRDefault="00BE5533" w:rsidP="0011196E">
      <w:pPr>
        <w:autoSpaceDE w:val="0"/>
        <w:autoSpaceDN w:val="0"/>
        <w:adjustRightInd w:val="0"/>
        <w:ind w:left="720"/>
        <w:rPr>
          <w:rFonts w:asciiTheme="minorHAnsi" w:hAnsiTheme="minorHAnsi" w:cs="Calibri"/>
          <w:sz w:val="24"/>
          <w:szCs w:val="24"/>
          <w:lang w:val="en-GB"/>
        </w:rPr>
      </w:pPr>
    </w:p>
    <w:p w:rsidR="00BE5533" w:rsidRPr="000A6B0A" w:rsidRDefault="00BE5533" w:rsidP="0011196E">
      <w:pPr>
        <w:autoSpaceDE w:val="0"/>
        <w:autoSpaceDN w:val="0"/>
        <w:adjustRightInd w:val="0"/>
        <w:ind w:left="720"/>
        <w:rPr>
          <w:rFonts w:asciiTheme="minorHAnsi" w:hAnsiTheme="minorHAnsi" w:cs="Calibri"/>
          <w:sz w:val="24"/>
          <w:szCs w:val="24"/>
          <w:lang w:val="en-GB"/>
        </w:rPr>
      </w:pPr>
    </w:p>
    <w:p w:rsidR="00FA6A0A" w:rsidRPr="000A6B0A" w:rsidRDefault="00FA6A0A">
      <w:pPr>
        <w:rPr>
          <w:rFonts w:asciiTheme="minorHAnsi" w:hAnsiTheme="minorHAnsi" w:cs="Calibri"/>
          <w:sz w:val="24"/>
          <w:szCs w:val="24"/>
          <w:lang w:val="en-GB"/>
        </w:rPr>
      </w:pPr>
      <w:r w:rsidRPr="000A6B0A">
        <w:rPr>
          <w:rFonts w:asciiTheme="minorHAnsi" w:hAnsiTheme="minorHAnsi" w:cs="Calibri"/>
          <w:sz w:val="24"/>
          <w:szCs w:val="24"/>
          <w:lang w:val="en-GB"/>
        </w:rPr>
        <w:br w:type="page"/>
      </w:r>
    </w:p>
    <w:p w:rsidR="00FA6A0A" w:rsidRPr="000A6B0A" w:rsidRDefault="00FA6A0A" w:rsidP="00FA6A0A">
      <w:pPr>
        <w:pStyle w:val="Titre1"/>
        <w:numPr>
          <w:ilvl w:val="1"/>
          <w:numId w:val="13"/>
        </w:numPr>
        <w:spacing w:line="276" w:lineRule="auto"/>
        <w:jc w:val="both"/>
        <w:rPr>
          <w:rFonts w:asciiTheme="minorHAnsi" w:hAnsiTheme="minorHAnsi"/>
          <w:sz w:val="22"/>
          <w:szCs w:val="22"/>
          <w:lang w:val="en-GB"/>
        </w:rPr>
      </w:pPr>
      <w:bookmarkStart w:id="97" w:name="_Toc461625145"/>
      <w:bookmarkStart w:id="98" w:name="_Toc461625246"/>
      <w:bookmarkStart w:id="99" w:name="_Toc496279041"/>
      <w:r w:rsidRPr="000A6B0A">
        <w:rPr>
          <w:rFonts w:asciiTheme="minorHAnsi" w:hAnsiTheme="minorHAnsi"/>
          <w:sz w:val="22"/>
          <w:szCs w:val="22"/>
          <w:lang w:val="en-GB"/>
        </w:rPr>
        <w:lastRenderedPageBreak/>
        <w:t>Switzerland</w:t>
      </w:r>
      <w:bookmarkEnd w:id="97"/>
      <w:bookmarkEnd w:id="98"/>
      <w:bookmarkEnd w:id="99"/>
    </w:p>
    <w:p w:rsidR="00625D37" w:rsidRPr="00A56CA1" w:rsidRDefault="00625D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This is the Swiss charging system valid from 1</w:t>
      </w:r>
      <w:r w:rsidRPr="000A6B0A">
        <w:rPr>
          <w:rFonts w:asciiTheme="minorHAnsi" w:hAnsiTheme="minorHAnsi"/>
          <w:sz w:val="22"/>
          <w:szCs w:val="22"/>
          <w:vertAlign w:val="superscript"/>
          <w:lang w:val="en-GB"/>
        </w:rPr>
        <w:t>st</w:t>
      </w:r>
      <w:r w:rsidRPr="00A56CA1">
        <w:rPr>
          <w:rFonts w:asciiTheme="minorHAnsi" w:hAnsiTheme="minorHAnsi"/>
          <w:sz w:val="22"/>
          <w:szCs w:val="22"/>
          <w:lang w:val="en-GB"/>
        </w:rPr>
        <w:t xml:space="preserve"> January 2017. The existing scheme of 2016 will be extended by a wear and tear factor by this date.</w:t>
      </w:r>
    </w:p>
    <w:p w:rsidR="00625D37" w:rsidRPr="00920176" w:rsidRDefault="00625D37" w:rsidP="0086605D">
      <w:pPr>
        <w:spacing w:line="276" w:lineRule="auto"/>
        <w:jc w:val="both"/>
        <w:rPr>
          <w:rFonts w:asciiTheme="minorHAnsi" w:hAnsiTheme="minorHAnsi"/>
          <w:sz w:val="22"/>
          <w:szCs w:val="22"/>
          <w:lang w:val="en-GB"/>
        </w:rPr>
      </w:pPr>
    </w:p>
    <w:p w:rsidR="00625D37" w:rsidRPr="00B35F2F" w:rsidRDefault="00625D37" w:rsidP="0086605D">
      <w:pPr>
        <w:spacing w:line="276" w:lineRule="auto"/>
        <w:jc w:val="both"/>
        <w:rPr>
          <w:rFonts w:asciiTheme="minorHAnsi" w:hAnsiTheme="minorHAnsi"/>
          <w:sz w:val="22"/>
          <w:szCs w:val="22"/>
          <w:lang w:val="en-GB"/>
        </w:rPr>
      </w:pPr>
      <w:r w:rsidRPr="00920176">
        <w:rPr>
          <w:rFonts w:asciiTheme="minorHAnsi" w:hAnsiTheme="minorHAnsi"/>
          <w:sz w:val="22"/>
          <w:szCs w:val="22"/>
          <w:lang w:val="en-GB"/>
        </w:rPr>
        <w:t>The charging for the minimum access package covers the standard ma</w:t>
      </w:r>
      <w:r w:rsidRPr="006130E4">
        <w:rPr>
          <w:rFonts w:asciiTheme="minorHAnsi" w:hAnsiTheme="minorHAnsi"/>
          <w:sz w:val="22"/>
          <w:szCs w:val="22"/>
          <w:lang w:val="en-GB"/>
        </w:rPr>
        <w:t>rginal costs considering the different costs of infrastructure in the network, the demand and the environmental impact of the vehicles. Contribution margins are levied in the passenger transport segments, considering if it is a franchised or non-franchised</w:t>
      </w:r>
      <w:r w:rsidRPr="00B35F2F">
        <w:rPr>
          <w:rFonts w:asciiTheme="minorHAnsi" w:hAnsiTheme="minorHAnsi"/>
          <w:sz w:val="22"/>
          <w:szCs w:val="22"/>
          <w:lang w:val="en-GB"/>
        </w:rPr>
        <w:t xml:space="preserve"> service. </w:t>
      </w:r>
    </w:p>
    <w:p w:rsidR="00625D37" w:rsidRPr="00C23A55" w:rsidRDefault="00625D37" w:rsidP="0086605D">
      <w:pPr>
        <w:spacing w:line="276" w:lineRule="auto"/>
        <w:jc w:val="both"/>
        <w:rPr>
          <w:rFonts w:asciiTheme="minorHAnsi" w:hAnsiTheme="minorHAnsi"/>
          <w:sz w:val="22"/>
          <w:szCs w:val="22"/>
          <w:lang w:val="en-GB"/>
        </w:rPr>
      </w:pPr>
    </w:p>
    <w:p w:rsidR="00625D37" w:rsidRPr="000A6B0A" w:rsidRDefault="00625D37" w:rsidP="0086605D">
      <w:pPr>
        <w:spacing w:line="276" w:lineRule="auto"/>
        <w:jc w:val="both"/>
        <w:rPr>
          <w:rFonts w:asciiTheme="minorHAnsi" w:hAnsiTheme="minorHAnsi"/>
          <w:sz w:val="22"/>
          <w:szCs w:val="22"/>
          <w:lang w:val="en-GB"/>
        </w:rPr>
      </w:pPr>
      <w:r w:rsidRPr="000A6B0A">
        <w:rPr>
          <w:rFonts w:asciiTheme="minorHAnsi" w:hAnsiTheme="minorHAnsi"/>
          <w:sz w:val="22"/>
          <w:szCs w:val="22"/>
          <w:lang w:val="en-GB"/>
        </w:rPr>
        <w:t xml:space="preserve">Note: Switzerland as non-member of the EU </w:t>
      </w:r>
      <w:r w:rsidR="00C417E1">
        <w:rPr>
          <w:rFonts w:asciiTheme="minorHAnsi" w:hAnsiTheme="minorHAnsi"/>
          <w:sz w:val="22"/>
          <w:szCs w:val="22"/>
          <w:lang w:val="en-GB"/>
        </w:rPr>
        <w:t>has not</w:t>
      </w:r>
      <w:r w:rsidR="00C417E1" w:rsidRPr="000A6B0A">
        <w:rPr>
          <w:rFonts w:asciiTheme="minorHAnsi" w:hAnsiTheme="minorHAnsi"/>
          <w:sz w:val="22"/>
          <w:szCs w:val="22"/>
          <w:lang w:val="en-GB"/>
        </w:rPr>
        <w:t xml:space="preserve"> </w:t>
      </w:r>
      <w:r w:rsidRPr="000A6B0A">
        <w:rPr>
          <w:rFonts w:asciiTheme="minorHAnsi" w:hAnsiTheme="minorHAnsi"/>
          <w:sz w:val="22"/>
          <w:szCs w:val="22"/>
          <w:lang w:val="en-GB"/>
        </w:rPr>
        <w:t xml:space="preserve">fully adopted the different European Railway reform steps. The legal structure of the Swiss charging system as well as the prices for the minimum access package are defined by State (and not the IM). However the prices for additional services are fixed by the IM. </w:t>
      </w:r>
    </w:p>
    <w:p w:rsidR="00625D37" w:rsidRPr="000A6B0A" w:rsidRDefault="00625D37" w:rsidP="00625D37">
      <w:pPr>
        <w:spacing w:line="360" w:lineRule="auto"/>
        <w:jc w:val="both"/>
        <w:rPr>
          <w:rFonts w:ascii="Times New Roman" w:hAnsi="Times New Roman" w:cs="Times New Roman"/>
          <w:sz w:val="24"/>
          <w:szCs w:val="24"/>
          <w:lang w:val="en-GB"/>
        </w:rPr>
      </w:pPr>
    </w:p>
    <w:tbl>
      <w:tblPr>
        <w:tblW w:w="8736" w:type="dxa"/>
        <w:tblInd w:w="93" w:type="dxa"/>
        <w:tblLook w:val="04A0" w:firstRow="1" w:lastRow="0" w:firstColumn="1" w:lastColumn="0" w:noHBand="0" w:noVBand="1"/>
      </w:tblPr>
      <w:tblGrid>
        <w:gridCol w:w="498"/>
        <w:gridCol w:w="2299"/>
        <w:gridCol w:w="1670"/>
        <w:gridCol w:w="2602"/>
        <w:gridCol w:w="1667"/>
      </w:tblGrid>
      <w:tr w:rsidR="00625D37" w:rsidRPr="000A6B0A" w:rsidTr="009C767D">
        <w:trPr>
          <w:trHeight w:val="475"/>
        </w:trPr>
        <w:tc>
          <w:tcPr>
            <w:tcW w:w="498" w:type="dxa"/>
            <w:tcBorders>
              <w:top w:val="single" w:sz="8" w:space="0" w:color="auto"/>
              <w:left w:val="single" w:sz="8" w:space="0" w:color="auto"/>
              <w:bottom w:val="single" w:sz="4" w:space="0" w:color="auto"/>
              <w:right w:val="single" w:sz="8" w:space="0" w:color="auto"/>
            </w:tcBorders>
            <w:shd w:val="clear" w:color="auto" w:fill="7F7F7F" w:themeFill="text1" w:themeFillTint="80"/>
          </w:tcPr>
          <w:p w:rsidR="00625D37" w:rsidRPr="000A6B0A" w:rsidRDefault="00625D37">
            <w:pPr>
              <w:jc w:val="center"/>
              <w:rPr>
                <w:rFonts w:asciiTheme="minorHAnsi" w:hAnsiTheme="minorHAnsi" w:cs="Times New Roman"/>
                <w:b/>
                <w:bCs/>
                <w:i/>
                <w:iCs/>
                <w:color w:val="222222"/>
                <w:sz w:val="22"/>
                <w:szCs w:val="22"/>
                <w:lang w:val="en-GB" w:eastAsia="hr-HR"/>
              </w:rPr>
            </w:pPr>
          </w:p>
        </w:tc>
        <w:tc>
          <w:tcPr>
            <w:tcW w:w="2299" w:type="dxa"/>
            <w:tcBorders>
              <w:top w:val="single" w:sz="8" w:space="0" w:color="auto"/>
              <w:left w:val="single" w:sz="8" w:space="0" w:color="auto"/>
              <w:bottom w:val="single" w:sz="4" w:space="0" w:color="auto"/>
              <w:right w:val="single" w:sz="8" w:space="0" w:color="auto"/>
            </w:tcBorders>
            <w:shd w:val="clear" w:color="auto" w:fill="7F7F7F" w:themeFill="text1" w:themeFillTint="80"/>
            <w:vAlign w:val="center"/>
            <w:hideMark/>
          </w:tcPr>
          <w:p w:rsidR="00625D37" w:rsidRPr="000A6B0A" w:rsidRDefault="00625D37">
            <w:pPr>
              <w:jc w:val="center"/>
              <w:rPr>
                <w:rFonts w:asciiTheme="minorHAnsi" w:hAnsiTheme="minorHAnsi" w:cs="Times New Roman"/>
                <w:b/>
                <w:bCs/>
                <w:i/>
                <w:iCs/>
                <w:color w:val="FFFFFF" w:themeColor="background1"/>
                <w:sz w:val="20"/>
                <w:szCs w:val="22"/>
                <w:lang w:val="en-GB" w:eastAsia="hr-HR"/>
              </w:rPr>
            </w:pPr>
            <w:r w:rsidRPr="000A6B0A">
              <w:rPr>
                <w:rFonts w:asciiTheme="minorHAnsi" w:hAnsiTheme="minorHAnsi" w:cs="Times New Roman"/>
                <w:b/>
                <w:bCs/>
                <w:i/>
                <w:iCs/>
                <w:color w:val="FFFFFF" w:themeColor="background1"/>
                <w:sz w:val="20"/>
                <w:szCs w:val="22"/>
                <w:lang w:val="en-GB" w:eastAsia="hr-HR"/>
              </w:rPr>
              <w:t>Charge</w:t>
            </w:r>
          </w:p>
        </w:tc>
        <w:tc>
          <w:tcPr>
            <w:tcW w:w="1670"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625D37" w:rsidRPr="000A6B0A" w:rsidRDefault="00625D37">
            <w:pPr>
              <w:jc w:val="center"/>
              <w:rPr>
                <w:rFonts w:asciiTheme="minorHAnsi" w:hAnsiTheme="minorHAnsi" w:cs="Times New Roman"/>
                <w:b/>
                <w:bCs/>
                <w:i/>
                <w:iCs/>
                <w:color w:val="FFFFFF" w:themeColor="background1"/>
                <w:sz w:val="20"/>
                <w:szCs w:val="22"/>
                <w:lang w:val="en-GB" w:eastAsia="hr-HR"/>
              </w:rPr>
            </w:pPr>
            <w:r w:rsidRPr="000A6B0A">
              <w:rPr>
                <w:rFonts w:asciiTheme="minorHAnsi" w:hAnsiTheme="minorHAnsi" w:cs="Times New Roman"/>
                <w:b/>
                <w:bCs/>
                <w:i/>
                <w:iCs/>
                <w:color w:val="FFFFFF" w:themeColor="background1"/>
                <w:sz w:val="20"/>
                <w:szCs w:val="22"/>
                <w:lang w:val="en-GB" w:eastAsia="hr-HR"/>
              </w:rPr>
              <w:t>Charging Unit</w:t>
            </w:r>
          </w:p>
        </w:tc>
        <w:tc>
          <w:tcPr>
            <w:tcW w:w="2602"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625D37" w:rsidRPr="000A6B0A" w:rsidRDefault="00625D37">
            <w:pPr>
              <w:jc w:val="center"/>
              <w:rPr>
                <w:rFonts w:asciiTheme="minorHAnsi" w:hAnsiTheme="minorHAnsi" w:cs="Times New Roman"/>
                <w:b/>
                <w:bCs/>
                <w:i/>
                <w:iCs/>
                <w:color w:val="FFFFFF" w:themeColor="background1"/>
                <w:sz w:val="20"/>
                <w:szCs w:val="22"/>
                <w:lang w:val="en-GB" w:eastAsia="hr-HR"/>
              </w:rPr>
            </w:pPr>
            <w:r w:rsidRPr="000A6B0A">
              <w:rPr>
                <w:rFonts w:asciiTheme="minorHAnsi" w:hAnsiTheme="minorHAnsi" w:cs="Times New Roman"/>
                <w:b/>
                <w:bCs/>
                <w:i/>
                <w:iCs/>
                <w:color w:val="FFFFFF" w:themeColor="background1"/>
                <w:sz w:val="20"/>
                <w:szCs w:val="22"/>
                <w:lang w:val="en-GB" w:eastAsia="hr-HR"/>
              </w:rPr>
              <w:t xml:space="preserve">Differentiation </w:t>
            </w:r>
          </w:p>
        </w:tc>
        <w:tc>
          <w:tcPr>
            <w:tcW w:w="1667" w:type="dxa"/>
            <w:tcBorders>
              <w:top w:val="single" w:sz="8" w:space="0" w:color="auto"/>
              <w:left w:val="nil"/>
              <w:bottom w:val="single" w:sz="4" w:space="0" w:color="auto"/>
              <w:right w:val="single" w:sz="8" w:space="0" w:color="auto"/>
            </w:tcBorders>
            <w:shd w:val="clear" w:color="auto" w:fill="7F7F7F" w:themeFill="text1" w:themeFillTint="80"/>
            <w:vAlign w:val="center"/>
            <w:hideMark/>
          </w:tcPr>
          <w:p w:rsidR="00625D37" w:rsidRPr="000A6B0A" w:rsidRDefault="00625D37">
            <w:pPr>
              <w:jc w:val="center"/>
              <w:rPr>
                <w:rFonts w:asciiTheme="minorHAnsi" w:hAnsiTheme="minorHAnsi" w:cs="Times New Roman"/>
                <w:b/>
                <w:bCs/>
                <w:i/>
                <w:iCs/>
                <w:color w:val="FFFFFF" w:themeColor="background1"/>
                <w:sz w:val="20"/>
                <w:szCs w:val="22"/>
                <w:lang w:val="en-GB" w:eastAsia="hr-HR"/>
              </w:rPr>
            </w:pPr>
            <w:r w:rsidRPr="000A6B0A">
              <w:rPr>
                <w:rFonts w:asciiTheme="minorHAnsi" w:hAnsiTheme="minorHAnsi" w:cs="Times New Roman"/>
                <w:b/>
                <w:bCs/>
                <w:i/>
                <w:iCs/>
                <w:color w:val="FFFFFF" w:themeColor="background1"/>
                <w:sz w:val="20"/>
                <w:szCs w:val="22"/>
                <w:lang w:val="en-GB" w:eastAsia="hr-HR"/>
              </w:rPr>
              <w:t>Cost covered</w:t>
            </w:r>
          </w:p>
        </w:tc>
      </w:tr>
      <w:tr w:rsidR="00625D37" w:rsidRPr="00C54CEB" w:rsidTr="00625D37">
        <w:trPr>
          <w:trHeight w:val="1185"/>
        </w:trPr>
        <w:tc>
          <w:tcPr>
            <w:tcW w:w="49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25D37" w:rsidRPr="000A6B0A" w:rsidRDefault="00625D37">
            <w:pPr>
              <w:ind w:left="113" w:right="113"/>
              <w:jc w:val="center"/>
              <w:rPr>
                <w:rFonts w:asciiTheme="minorHAnsi" w:hAnsiTheme="minorHAnsi" w:cs="Times New Roman"/>
                <w:color w:val="222222"/>
                <w:sz w:val="20"/>
                <w:szCs w:val="20"/>
                <w:lang w:val="en-GB" w:eastAsia="hr-HR"/>
              </w:rPr>
            </w:pPr>
            <w:r w:rsidRPr="000A6B0A">
              <w:rPr>
                <w:rFonts w:asciiTheme="minorHAnsi" w:hAnsiTheme="minorHAnsi" w:cs="Times New Roman"/>
                <w:color w:val="222222"/>
                <w:sz w:val="22"/>
                <w:szCs w:val="22"/>
                <w:lang w:val="en-GB" w:eastAsia="hr-HR"/>
              </w:rPr>
              <w:t>Variable minimum train-path price</w:t>
            </w: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Minimum train-path price</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CHF/path km</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3 categories of routes on the network</w:t>
            </w:r>
          </w:p>
        </w:tc>
        <w:tc>
          <w:tcPr>
            <w:tcW w:w="1667" w:type="dxa"/>
            <w:vMerge w:val="restart"/>
            <w:tcBorders>
              <w:top w:val="single" w:sz="4" w:space="0" w:color="auto"/>
              <w:left w:val="single" w:sz="4" w:space="0" w:color="auto"/>
              <w:bottom w:val="single" w:sz="4" w:space="0" w:color="auto"/>
              <w:right w:val="single" w:sz="4" w:space="0" w:color="auto"/>
            </w:tcBorders>
            <w:vAlign w:val="center"/>
            <w:hideMark/>
          </w:tcPr>
          <w:p w:rsidR="00625D37" w:rsidRPr="00C23A55" w:rsidRDefault="00625D37">
            <w:pPr>
              <w:jc w:val="center"/>
              <w:rPr>
                <w:rFonts w:asciiTheme="minorHAnsi" w:hAnsiTheme="minorHAnsi" w:cs="Times New Roman"/>
                <w:color w:val="222222"/>
                <w:sz w:val="20"/>
                <w:szCs w:val="20"/>
                <w:lang w:val="en-GB" w:eastAsia="hr-HR"/>
              </w:rPr>
            </w:pPr>
            <w:r w:rsidRPr="00B35F2F">
              <w:rPr>
                <w:rFonts w:asciiTheme="minorHAnsi" w:hAnsiTheme="minorHAnsi" w:cs="Times New Roman"/>
                <w:color w:val="222222"/>
                <w:sz w:val="20"/>
                <w:szCs w:val="20"/>
                <w:lang w:val="en-GB" w:eastAsia="hr-HR"/>
              </w:rPr>
              <w:t>The revenue for each t</w:t>
            </w:r>
            <w:r w:rsidRPr="00C23A55">
              <w:rPr>
                <w:rFonts w:asciiTheme="minorHAnsi" w:hAnsiTheme="minorHAnsi" w:cs="Times New Roman"/>
                <w:color w:val="222222"/>
                <w:sz w:val="20"/>
                <w:szCs w:val="20"/>
                <w:lang w:val="en-GB" w:eastAsia="hr-HR"/>
              </w:rPr>
              <w:t>raffic segment should cover the standard marginal costs considering the different costs of infrastructure in the network, the demand and the environmental impact of the vehicles</w:t>
            </w:r>
          </w:p>
        </w:tc>
      </w:tr>
      <w:tr w:rsidR="00625D37" w:rsidRPr="00C54CEB" w:rsidTr="00625D37">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jc w:val="center"/>
              <w:rPr>
                <w:rFonts w:asciiTheme="minorHAnsi" w:hAnsiTheme="minorHAnsi" w:cs="Times New Roman"/>
                <w:b/>
                <w:color w:val="222222"/>
                <w:sz w:val="20"/>
                <w:szCs w:val="20"/>
                <w:lang w:val="en-GB" w:eastAsia="hr-HR"/>
              </w:rPr>
            </w:pPr>
            <w:r w:rsidRPr="000A6B0A">
              <w:rPr>
                <w:rFonts w:asciiTheme="minorHAnsi" w:hAnsiTheme="minorHAnsi" w:cs="Times New Roman"/>
                <w:b/>
                <w:color w:val="222222"/>
                <w:sz w:val="20"/>
                <w:szCs w:val="20"/>
                <w:lang w:val="en-GB" w:eastAsia="hr-HR"/>
              </w:rPr>
              <w:t>Peak-hour demand coefficient</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jc w:val="center"/>
              <w:rPr>
                <w:rFonts w:asciiTheme="minorHAnsi" w:hAnsiTheme="minorHAnsi" w:cs="Times New Roman"/>
                <w:color w:val="222222"/>
                <w:sz w:val="20"/>
                <w:szCs w:val="20"/>
                <w:lang w:val="en-GB" w:eastAsia="hr-HR"/>
              </w:rPr>
            </w:pPr>
            <w:r w:rsidRPr="000A6B0A">
              <w:rPr>
                <w:rFonts w:asciiTheme="minorHAnsi" w:hAnsiTheme="minorHAnsi" w:cs="Times New Roman"/>
                <w:color w:val="222222"/>
                <w:sz w:val="20"/>
                <w:szCs w:val="20"/>
                <w:lang w:val="en-GB" w:eastAsia="hr-HR"/>
              </w:rPr>
              <w:t>Factor</w:t>
            </w:r>
            <w:r w:rsidRPr="000A6B0A">
              <w:rPr>
                <w:rFonts w:asciiTheme="minorHAnsi" w:hAnsiTheme="minorHAnsi" w:cs="Times New Roman"/>
                <w:color w:val="222222"/>
                <w:sz w:val="20"/>
                <w:szCs w:val="20"/>
                <w:lang w:val="en-GB" w:eastAsia="hr-HR"/>
              </w:rPr>
              <w:br/>
              <w:t>1 or 2</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r w:rsidRPr="000A6B0A">
              <w:rPr>
                <w:rFonts w:asciiTheme="minorHAnsi" w:hAnsiTheme="minorHAnsi" w:cs="Times New Roman"/>
                <w:color w:val="222222"/>
                <w:sz w:val="20"/>
                <w:szCs w:val="20"/>
                <w:lang w:val="en-GB" w:eastAsia="hr-HR"/>
              </w:rPr>
              <w:t>Factor is applied, when the train-path is used during peak-hours on Mo to Fri between 6.00 to 8.59am and/or 16.00 to 18.59.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jc w:val="center"/>
              <w:rPr>
                <w:rFonts w:asciiTheme="minorHAnsi" w:hAnsiTheme="minorHAnsi" w:cs="Times New Roman"/>
                <w:b/>
                <w:color w:val="222222"/>
                <w:sz w:val="20"/>
                <w:szCs w:val="20"/>
                <w:lang w:val="en-GB" w:eastAsia="hr-HR"/>
              </w:rPr>
            </w:pPr>
            <w:r w:rsidRPr="000A6B0A">
              <w:rPr>
                <w:rFonts w:asciiTheme="minorHAnsi" w:hAnsiTheme="minorHAnsi" w:cs="Times New Roman"/>
                <w:b/>
                <w:color w:val="222222"/>
                <w:sz w:val="20"/>
                <w:szCs w:val="20"/>
                <w:lang w:val="en-GB" w:eastAsia="hr-HR"/>
              </w:rPr>
              <w:t>Train-path quality</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jc w:val="center"/>
              <w:rPr>
                <w:rFonts w:asciiTheme="minorHAnsi" w:hAnsiTheme="minorHAnsi" w:cs="Times New Roman"/>
                <w:color w:val="222222"/>
                <w:sz w:val="20"/>
                <w:szCs w:val="20"/>
                <w:lang w:val="en-GB" w:eastAsia="hr-HR"/>
              </w:rPr>
            </w:pPr>
            <w:r w:rsidRPr="000A6B0A">
              <w:rPr>
                <w:rFonts w:asciiTheme="minorHAnsi" w:hAnsiTheme="minorHAnsi" w:cs="Times New Roman"/>
                <w:color w:val="222222"/>
                <w:sz w:val="20"/>
                <w:szCs w:val="20"/>
                <w:lang w:val="en-GB" w:eastAsia="hr-HR"/>
              </w:rPr>
              <w:t>4 different factors</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r w:rsidRPr="000A6B0A">
              <w:rPr>
                <w:rFonts w:asciiTheme="minorHAnsi" w:hAnsiTheme="minorHAnsi" w:cs="Times New Roman"/>
                <w:color w:val="222222"/>
                <w:sz w:val="20"/>
                <w:szCs w:val="20"/>
                <w:lang w:val="en-GB" w:eastAsia="hr-HR"/>
              </w:rPr>
              <w:t>The applied factors consider the priority rules for the different traffic segments based in the railway act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Stop surcharge</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CHF/stop</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Surcharge for sections with mixed traffic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Basic price by wear</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 per unit</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Differentiation of the various trains on infrastructure in relation to speed, path layout, vehicle type and vehicle design.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Basis price by weight</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CHF/gross ton kilometre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B35F2F" w:rsidRDefault="00625D37">
            <w:pPr>
              <w:rPr>
                <w:rFonts w:asciiTheme="minorHAnsi" w:hAnsiTheme="minorHAnsi" w:cs="Times New Roman"/>
                <w:color w:val="222222"/>
                <w:sz w:val="20"/>
                <w:szCs w:val="20"/>
                <w:lang w:val="en-GB" w:eastAsia="hr-HR"/>
              </w:rPr>
            </w:pPr>
            <w:r w:rsidRPr="00B35F2F">
              <w:rPr>
                <w:rFonts w:asciiTheme="minorHAnsi" w:hAnsiTheme="minorHAnsi" w:cs="Times New Roman"/>
                <w:color w:val="222222"/>
                <w:sz w:val="20"/>
                <w:szCs w:val="20"/>
                <w:lang w:val="en-GB" w:eastAsia="hr-HR"/>
              </w:rPr>
              <w:t xml:space="preserve">For historic vehicles. For regional transport segment in 2017 only.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Surcharge for trains hauled by combustion-based move</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CHF/gross ton kilometre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Trains with thermic traction on electrified lines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708"/>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Dangerous goods surcharge for freight traffic</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CHF/axle kilometre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 xml:space="preserve">Specific costs arise in connection with the transport of dangerous goods (security or restrictions on operation)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Low-noise bonus for freight traffic</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CHF/axle kilometre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For freight vehicles with disk, drum or composite brakes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Discount for the ETCS train control system</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 per year</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C23A55"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Granted for vehicles not travelling on specific new lines and brought into service before 1</w:t>
            </w:r>
            <w:r w:rsidRPr="00B35F2F">
              <w:rPr>
                <w:rFonts w:asciiTheme="minorHAnsi" w:hAnsiTheme="minorHAnsi" w:cs="Times New Roman"/>
                <w:color w:val="222222"/>
                <w:sz w:val="20"/>
                <w:szCs w:val="20"/>
                <w:vertAlign w:val="superscript"/>
                <w:lang w:val="en-GB" w:eastAsia="hr-HR"/>
              </w:rPr>
              <w:t>st</w:t>
            </w:r>
            <w:r w:rsidRPr="00C23A55">
              <w:rPr>
                <w:rFonts w:asciiTheme="minorHAnsi" w:hAnsiTheme="minorHAnsi" w:cs="Times New Roman"/>
                <w:color w:val="222222"/>
                <w:sz w:val="20"/>
                <w:szCs w:val="20"/>
                <w:lang w:val="en-GB" w:eastAsia="hr-HR"/>
              </w:rPr>
              <w:t xml:space="preserve"> January 2013.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Discount for traction assisted transalpine freight trains</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CHF/powered axle and train-path kilometre</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B35F2F" w:rsidRDefault="00625D37">
            <w:pPr>
              <w:rPr>
                <w:rFonts w:asciiTheme="minorHAnsi" w:hAnsiTheme="minorHAnsi" w:cs="Times New Roman"/>
                <w:color w:val="222222"/>
                <w:sz w:val="20"/>
                <w:szCs w:val="20"/>
                <w:lang w:val="en-GB" w:eastAsia="hr-HR"/>
              </w:rPr>
            </w:pPr>
            <w:r w:rsidRPr="00B35F2F">
              <w:rPr>
                <w:rFonts w:asciiTheme="minorHAnsi" w:hAnsiTheme="minorHAnsi" w:cs="Times New Roman"/>
                <w:color w:val="222222"/>
                <w:sz w:val="20"/>
                <w:szCs w:val="20"/>
                <w:lang w:val="en-GB" w:eastAsia="hr-HR"/>
              </w:rPr>
              <w:t>The discount is applied for the entire route travelled with more than four powered axles on the Lötschberg-Simplon and Gotthard-line section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Cancellation fee</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 xml:space="preserve">Factor </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Depending on the deadline of cancellation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D37" w:rsidRPr="000A6B0A" w:rsidRDefault="00625D37">
            <w:pP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Contribution margin for passenger tr</w:t>
            </w:r>
            <w:r w:rsidRPr="00920176">
              <w:rPr>
                <w:rFonts w:asciiTheme="minorHAnsi" w:hAnsiTheme="minorHAnsi" w:cs="Times New Roman"/>
                <w:b/>
                <w:color w:val="222222"/>
                <w:sz w:val="20"/>
                <w:szCs w:val="20"/>
                <w:lang w:val="en-GB" w:eastAsia="hr-HR"/>
              </w:rPr>
              <w:t>ains</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 xml:space="preserve">% of traffic revenues </w:t>
            </w:r>
            <w:r w:rsidRPr="00920176">
              <w:rPr>
                <w:rFonts w:asciiTheme="minorHAnsi" w:hAnsiTheme="minorHAnsi" w:cs="Times New Roman"/>
                <w:color w:val="222222"/>
                <w:sz w:val="20"/>
                <w:szCs w:val="20"/>
                <w:lang w:val="en-GB" w:eastAsia="hr-HR"/>
              </w:rPr>
              <w:br/>
              <w:t>or</w:t>
            </w:r>
            <w:r w:rsidRPr="00920176">
              <w:rPr>
                <w:rFonts w:asciiTheme="minorHAnsi" w:hAnsiTheme="minorHAnsi" w:cs="Times New Roman"/>
                <w:color w:val="222222"/>
                <w:sz w:val="20"/>
                <w:szCs w:val="20"/>
                <w:lang w:val="en-GB" w:eastAsia="hr-HR"/>
              </w:rPr>
              <w:br/>
              <w:t>CHF/kilometre offered</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B35F2F" w:rsidRDefault="00625D37">
            <w:pPr>
              <w:rPr>
                <w:rFonts w:asciiTheme="minorHAnsi" w:hAnsiTheme="minorHAnsi" w:cs="Times New Roman"/>
                <w:color w:val="222222"/>
                <w:sz w:val="20"/>
                <w:szCs w:val="20"/>
                <w:lang w:val="en-GB" w:eastAsia="hr-HR"/>
              </w:rPr>
            </w:pPr>
            <w:r w:rsidRPr="00B35F2F">
              <w:rPr>
                <w:rFonts w:asciiTheme="minorHAnsi" w:hAnsiTheme="minorHAnsi" w:cs="Times New Roman"/>
                <w:color w:val="222222"/>
                <w:sz w:val="20"/>
                <w:szCs w:val="20"/>
                <w:lang w:val="en-GB" w:eastAsia="hr-HR"/>
              </w:rPr>
              <w:t>Differentiation between franchise-holders' and non-franchise holders' passenger trains</w:t>
            </w:r>
          </w:p>
        </w:tc>
        <w:tc>
          <w:tcPr>
            <w:tcW w:w="1667" w:type="dxa"/>
            <w:tcBorders>
              <w:top w:val="single" w:sz="4" w:space="0" w:color="auto"/>
              <w:left w:val="single" w:sz="4" w:space="0" w:color="auto"/>
              <w:bottom w:val="single" w:sz="4" w:space="0" w:color="auto"/>
              <w:right w:val="single" w:sz="4" w:space="0" w:color="auto"/>
            </w:tcBorders>
            <w:vAlign w:val="center"/>
          </w:tcPr>
          <w:p w:rsidR="00625D37" w:rsidRPr="00C23A55" w:rsidRDefault="00625D37">
            <w:pPr>
              <w:jc w:val="center"/>
              <w:rPr>
                <w:rFonts w:asciiTheme="minorHAnsi" w:hAnsiTheme="minorHAnsi" w:cs="Times New Roman"/>
                <w:color w:val="222222"/>
                <w:sz w:val="20"/>
                <w:szCs w:val="20"/>
                <w:lang w:val="en-GB" w:eastAsia="hr-HR"/>
              </w:rPr>
            </w:pPr>
          </w:p>
        </w:tc>
      </w:tr>
      <w:tr w:rsidR="00625D37" w:rsidRPr="00C54CEB" w:rsidTr="00625D37">
        <w:trPr>
          <w:trHeight w:val="1185"/>
        </w:trPr>
        <w:tc>
          <w:tcPr>
            <w:tcW w:w="498" w:type="dxa"/>
            <w:tcBorders>
              <w:top w:val="single" w:sz="4" w:space="0" w:color="auto"/>
              <w:left w:val="single" w:sz="4" w:space="0" w:color="auto"/>
              <w:bottom w:val="single" w:sz="4" w:space="0" w:color="auto"/>
              <w:right w:val="single" w:sz="4" w:space="0" w:color="auto"/>
            </w:tcBorders>
          </w:tcPr>
          <w:p w:rsidR="00625D37" w:rsidRPr="000A6B0A" w:rsidRDefault="00625D37">
            <w:pPr>
              <w:jc w:val="center"/>
              <w:rPr>
                <w:rFonts w:asciiTheme="minorHAnsi" w:hAnsiTheme="minorHAnsi" w:cs="Times New Roman"/>
                <w:color w:val="222222"/>
                <w:sz w:val="20"/>
                <w:szCs w:val="20"/>
                <w:lang w:val="en-GB" w:eastAsia="hr-HR"/>
              </w:rPr>
            </w:pPr>
          </w:p>
        </w:tc>
        <w:tc>
          <w:tcPr>
            <w:tcW w:w="2299" w:type="dxa"/>
            <w:tcBorders>
              <w:top w:val="single" w:sz="4" w:space="0" w:color="auto"/>
              <w:left w:val="single" w:sz="4" w:space="0" w:color="auto"/>
              <w:bottom w:val="single" w:sz="4" w:space="0" w:color="auto"/>
              <w:right w:val="single" w:sz="4" w:space="0" w:color="auto"/>
            </w:tcBorders>
            <w:vAlign w:val="center"/>
            <w:hideMark/>
          </w:tcPr>
          <w:p w:rsidR="00625D37" w:rsidRPr="00A56CA1" w:rsidRDefault="00625D37">
            <w:pPr>
              <w:jc w:val="center"/>
              <w:rPr>
                <w:rFonts w:asciiTheme="minorHAnsi" w:hAnsiTheme="minorHAnsi" w:cs="Times New Roman"/>
                <w:b/>
                <w:color w:val="222222"/>
                <w:sz w:val="20"/>
                <w:szCs w:val="20"/>
                <w:lang w:val="en-GB" w:eastAsia="hr-HR"/>
              </w:rPr>
            </w:pPr>
            <w:r w:rsidRPr="00A56CA1">
              <w:rPr>
                <w:rFonts w:asciiTheme="minorHAnsi" w:hAnsiTheme="minorHAnsi" w:cs="Times New Roman"/>
                <w:b/>
                <w:color w:val="222222"/>
                <w:sz w:val="20"/>
                <w:szCs w:val="20"/>
                <w:lang w:val="en-GB" w:eastAsia="hr-HR"/>
              </w:rPr>
              <w:t>Ex-catenary energy</w:t>
            </w:r>
          </w:p>
        </w:tc>
        <w:tc>
          <w:tcPr>
            <w:tcW w:w="1670" w:type="dxa"/>
            <w:tcBorders>
              <w:top w:val="single" w:sz="4" w:space="0" w:color="auto"/>
              <w:left w:val="single" w:sz="4" w:space="0" w:color="auto"/>
              <w:bottom w:val="single" w:sz="4" w:space="0" w:color="auto"/>
              <w:right w:val="single" w:sz="4" w:space="0" w:color="auto"/>
            </w:tcBorders>
            <w:vAlign w:val="center"/>
            <w:hideMark/>
          </w:tcPr>
          <w:p w:rsidR="00625D37" w:rsidRPr="00920176" w:rsidRDefault="00625D37">
            <w:pPr>
              <w:jc w:val="cente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 xml:space="preserve">CHF/kwh </w:t>
            </w:r>
            <w:r w:rsidRPr="00920176">
              <w:rPr>
                <w:rFonts w:asciiTheme="minorHAnsi" w:hAnsiTheme="minorHAnsi" w:cs="Times New Roman"/>
                <w:color w:val="222222"/>
                <w:sz w:val="20"/>
                <w:szCs w:val="20"/>
                <w:lang w:val="en-GB" w:eastAsia="hr-HR"/>
              </w:rPr>
              <w:br/>
              <w:t>x Factor</w:t>
            </w:r>
          </w:p>
        </w:tc>
        <w:tc>
          <w:tcPr>
            <w:tcW w:w="2602" w:type="dxa"/>
            <w:tcBorders>
              <w:top w:val="single" w:sz="4" w:space="0" w:color="auto"/>
              <w:left w:val="single" w:sz="4" w:space="0" w:color="auto"/>
              <w:bottom w:val="single" w:sz="4" w:space="0" w:color="auto"/>
              <w:right w:val="single" w:sz="4" w:space="0" w:color="auto"/>
            </w:tcBorders>
            <w:vAlign w:val="center"/>
            <w:hideMark/>
          </w:tcPr>
          <w:p w:rsidR="00625D37" w:rsidRPr="00B35F2F" w:rsidRDefault="00625D37">
            <w:pPr>
              <w:rPr>
                <w:rFonts w:asciiTheme="minorHAnsi" w:hAnsiTheme="minorHAnsi" w:cs="Times New Roman"/>
                <w:color w:val="222222"/>
                <w:sz w:val="20"/>
                <w:szCs w:val="20"/>
                <w:lang w:val="en-GB" w:eastAsia="hr-HR"/>
              </w:rPr>
            </w:pPr>
            <w:r w:rsidRPr="00920176">
              <w:rPr>
                <w:rFonts w:asciiTheme="minorHAnsi" w:hAnsiTheme="minorHAnsi" w:cs="Times New Roman"/>
                <w:color w:val="222222"/>
                <w:sz w:val="20"/>
                <w:szCs w:val="20"/>
                <w:lang w:val="en-GB" w:eastAsia="hr-HR"/>
              </w:rPr>
              <w:t xml:space="preserve">The „network load factor“ takes account of varying demand and the resulting </w:t>
            </w:r>
            <w:r w:rsidRPr="00B35F2F">
              <w:rPr>
                <w:rFonts w:asciiTheme="minorHAnsi" w:hAnsiTheme="minorHAnsi" w:cs="Times New Roman"/>
                <w:color w:val="222222"/>
                <w:sz w:val="20"/>
                <w:szCs w:val="20"/>
                <w:lang w:val="en-GB" w:eastAsia="hr-HR"/>
              </w:rPr>
              <w:t>production costs throughout the day</w:t>
            </w:r>
          </w:p>
        </w:tc>
        <w:tc>
          <w:tcPr>
            <w:tcW w:w="1667" w:type="dxa"/>
            <w:tcBorders>
              <w:top w:val="single" w:sz="4" w:space="0" w:color="auto"/>
              <w:left w:val="single" w:sz="4" w:space="0" w:color="auto"/>
              <w:bottom w:val="single" w:sz="4" w:space="0" w:color="auto"/>
              <w:right w:val="single" w:sz="4" w:space="0" w:color="auto"/>
            </w:tcBorders>
            <w:vAlign w:val="center"/>
            <w:hideMark/>
          </w:tcPr>
          <w:p w:rsidR="00625D37" w:rsidRPr="00C23A55" w:rsidRDefault="00625D37">
            <w:pPr>
              <w:jc w:val="center"/>
              <w:rPr>
                <w:rFonts w:asciiTheme="minorHAnsi" w:hAnsiTheme="minorHAnsi" w:cs="Times New Roman"/>
                <w:color w:val="222222"/>
                <w:sz w:val="20"/>
                <w:szCs w:val="20"/>
                <w:lang w:val="en-GB" w:eastAsia="hr-HR"/>
              </w:rPr>
            </w:pPr>
            <w:r w:rsidRPr="00C23A55">
              <w:rPr>
                <w:rFonts w:asciiTheme="minorHAnsi" w:hAnsiTheme="minorHAnsi" w:cs="Times New Roman"/>
                <w:color w:val="222222"/>
                <w:sz w:val="20"/>
                <w:szCs w:val="20"/>
                <w:lang w:val="en-GB" w:eastAsia="hr-HR"/>
              </w:rPr>
              <w:t>Price is fixed in the manner, that no uncovered costs arise</w:t>
            </w:r>
          </w:p>
        </w:tc>
      </w:tr>
    </w:tbl>
    <w:p w:rsidR="00FA6A0A" w:rsidRPr="003B2158" w:rsidRDefault="00FA6A0A">
      <w:pPr>
        <w:rPr>
          <w:rFonts w:asciiTheme="minorHAnsi" w:hAnsiTheme="minorHAnsi" w:cs="Calibri"/>
          <w:sz w:val="24"/>
          <w:szCs w:val="24"/>
          <w:lang w:val="en-GB"/>
        </w:rPr>
      </w:pPr>
      <w:r w:rsidRPr="003B2158">
        <w:rPr>
          <w:rFonts w:asciiTheme="minorHAnsi" w:hAnsiTheme="minorHAnsi" w:cs="Calibri"/>
          <w:sz w:val="24"/>
          <w:szCs w:val="24"/>
          <w:lang w:val="en-GB"/>
        </w:rPr>
        <w:br w:type="page"/>
      </w:r>
    </w:p>
    <w:p w:rsidR="00DC105B" w:rsidRPr="003B2158" w:rsidRDefault="00DC105B" w:rsidP="00E561FB">
      <w:pPr>
        <w:pStyle w:val="Titre1"/>
        <w:numPr>
          <w:ilvl w:val="1"/>
          <w:numId w:val="13"/>
        </w:numPr>
        <w:spacing w:line="276" w:lineRule="auto"/>
        <w:jc w:val="both"/>
        <w:rPr>
          <w:rFonts w:asciiTheme="minorHAnsi" w:hAnsiTheme="minorHAnsi"/>
          <w:sz w:val="22"/>
          <w:szCs w:val="22"/>
          <w:lang w:val="en-GB"/>
        </w:rPr>
      </w:pPr>
      <w:bookmarkStart w:id="100" w:name="_Toc461625147"/>
      <w:bookmarkStart w:id="101" w:name="_Toc461625247"/>
      <w:bookmarkStart w:id="102" w:name="_Toc496279042"/>
      <w:r w:rsidRPr="003B2158">
        <w:rPr>
          <w:rFonts w:asciiTheme="minorHAnsi" w:hAnsiTheme="minorHAnsi"/>
          <w:sz w:val="22"/>
          <w:szCs w:val="22"/>
          <w:lang w:val="en-GB"/>
        </w:rPr>
        <w:lastRenderedPageBreak/>
        <w:t>United Kingdom</w:t>
      </w:r>
      <w:bookmarkEnd w:id="100"/>
      <w:bookmarkEnd w:id="101"/>
      <w:bookmarkEnd w:id="102"/>
    </w:p>
    <w:p w:rsidR="006C5F50" w:rsidRPr="003B2158" w:rsidRDefault="006C5F50" w:rsidP="006C5F50">
      <w:pPr>
        <w:jc w:val="both"/>
        <w:rPr>
          <w:rFonts w:asciiTheme="minorHAnsi" w:hAnsiTheme="minorHAnsi"/>
          <w:b/>
          <w:smallCaps/>
          <w:sz w:val="22"/>
          <w:szCs w:val="22"/>
          <w:u w:val="single"/>
          <w:lang w:val="en-GB"/>
        </w:rPr>
      </w:pPr>
    </w:p>
    <w:p w:rsidR="00DA46A3" w:rsidRPr="000A6B0A" w:rsidRDefault="00DA46A3" w:rsidP="0086605D">
      <w:pPr>
        <w:spacing w:line="276" w:lineRule="auto"/>
        <w:jc w:val="both"/>
        <w:rPr>
          <w:rFonts w:asciiTheme="minorHAnsi" w:hAnsiTheme="minorHAnsi"/>
          <w:sz w:val="22"/>
          <w:szCs w:val="22"/>
          <w:lang w:val="en-GB"/>
        </w:rPr>
      </w:pPr>
      <w:r w:rsidRPr="003B2158">
        <w:rPr>
          <w:rFonts w:asciiTheme="minorHAnsi" w:hAnsiTheme="minorHAnsi"/>
          <w:sz w:val="22"/>
          <w:szCs w:val="22"/>
          <w:lang w:val="en-GB"/>
        </w:rPr>
        <w:t>In the UK, the charging regime for the IM of the national network</w:t>
      </w:r>
      <w:r w:rsidRPr="000A6B0A">
        <w:rPr>
          <w:rStyle w:val="Appelnotedebasdep"/>
          <w:rFonts w:asciiTheme="minorHAnsi" w:hAnsiTheme="minorHAnsi" w:cs="Arial"/>
          <w:sz w:val="22"/>
          <w:szCs w:val="22"/>
          <w:lang w:val="en-GB"/>
        </w:rPr>
        <w:footnoteReference w:id="92"/>
      </w:r>
      <w:r w:rsidRPr="000A6B0A">
        <w:rPr>
          <w:rFonts w:asciiTheme="minorHAnsi" w:hAnsiTheme="minorHAnsi"/>
          <w:sz w:val="22"/>
          <w:szCs w:val="22"/>
          <w:lang w:val="en-GB"/>
        </w:rPr>
        <w:t xml:space="preserve"> has been developed to cover the short-run marginal costs of running services on the network. In addition, for the purposes of full cost recovery, train operators pay various fixed charges to cover a proportion of the IM fixed costs. These charges are recovered as mark-ups. Currently, open access operators do not make contributions tow</w:t>
      </w:r>
      <w:r w:rsidR="00763F22" w:rsidRPr="000A6B0A">
        <w:rPr>
          <w:rFonts w:asciiTheme="minorHAnsi" w:hAnsiTheme="minorHAnsi"/>
          <w:sz w:val="22"/>
          <w:szCs w:val="22"/>
          <w:lang w:val="en-GB"/>
        </w:rPr>
        <w:t>ards the IM fixed costs</w:t>
      </w:r>
      <w:r w:rsidR="00A01436">
        <w:rPr>
          <w:rFonts w:asciiTheme="minorHAnsi" w:hAnsiTheme="minorHAnsi"/>
          <w:sz w:val="22"/>
          <w:szCs w:val="22"/>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1535"/>
        <w:gridCol w:w="2352"/>
        <w:gridCol w:w="2921"/>
      </w:tblGrid>
      <w:tr w:rsidR="002822DF" w:rsidRPr="000A6B0A" w:rsidTr="009C767D">
        <w:trPr>
          <w:trHeight w:val="245"/>
          <w:jc w:val="center"/>
        </w:trPr>
        <w:tc>
          <w:tcPr>
            <w:tcW w:w="1441"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lastRenderedPageBreak/>
              <w:t>Charge</w:t>
            </w:r>
          </w:p>
        </w:tc>
        <w:tc>
          <w:tcPr>
            <w:tcW w:w="1535"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Unit</w:t>
            </w:r>
          </w:p>
        </w:tc>
        <w:tc>
          <w:tcPr>
            <w:tcW w:w="2352"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Differentiation</w:t>
            </w:r>
          </w:p>
        </w:tc>
        <w:tc>
          <w:tcPr>
            <w:tcW w:w="2921" w:type="dxa"/>
            <w:shd w:val="clear" w:color="auto" w:fill="808080"/>
            <w:vAlign w:val="center"/>
          </w:tcPr>
          <w:p w:rsidR="002822DF" w:rsidRPr="000A6B0A" w:rsidRDefault="002822DF" w:rsidP="0086605D">
            <w:pPr>
              <w:pStyle w:val="Tabellenkopf"/>
              <w:spacing w:before="0" w:after="0"/>
              <w:jc w:val="center"/>
              <w:rPr>
                <w:rFonts w:asciiTheme="minorHAnsi" w:hAnsiTheme="minorHAnsi" w:cs="Calibri"/>
                <w:b/>
                <w:color w:val="FFFFFF"/>
                <w:sz w:val="20"/>
                <w:lang w:val="en-GB"/>
              </w:rPr>
            </w:pPr>
            <w:r w:rsidRPr="000A6B0A">
              <w:rPr>
                <w:rFonts w:asciiTheme="minorHAnsi" w:hAnsiTheme="minorHAnsi" w:cs="Calibri"/>
                <w:b/>
                <w:color w:val="FFFFFF"/>
                <w:sz w:val="20"/>
                <w:lang w:val="en-GB"/>
              </w:rPr>
              <w:t>Cost covered</w:t>
            </w: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Variable Usage Charge</w:t>
            </w:r>
          </w:p>
          <w:p w:rsidR="00DC105B" w:rsidRPr="000A6B0A" w:rsidRDefault="00DC105B">
            <w:pPr>
              <w:jc w:val="center"/>
              <w:rPr>
                <w:rFonts w:asciiTheme="minorHAnsi" w:hAnsiTheme="minorHAnsi" w:cs="Calibri"/>
                <w:b/>
                <w:spacing w:val="-2"/>
                <w:sz w:val="20"/>
                <w:szCs w:val="20"/>
                <w:lang w:val="en-GB" w:eastAsia="de-CH"/>
              </w:rPr>
            </w:pPr>
          </w:p>
        </w:tc>
        <w:tc>
          <w:tcPr>
            <w:tcW w:w="1535" w:type="dxa"/>
            <w:vAlign w:val="center"/>
          </w:tcPr>
          <w:p w:rsidR="00C417E1" w:rsidRDefault="00C417E1" w:rsidP="0086605D">
            <w:pPr>
              <w:pStyle w:val="Tabellentextrechts"/>
              <w:spacing w:before="0" w:after="0"/>
              <w:jc w:val="center"/>
              <w:rPr>
                <w:rFonts w:asciiTheme="minorHAnsi" w:hAnsiTheme="minorHAnsi" w:cs="Calibri"/>
                <w:spacing w:val="-2"/>
                <w:sz w:val="20"/>
                <w:lang w:val="en-GB"/>
              </w:rPr>
            </w:pPr>
            <w:r>
              <w:rPr>
                <w:rFonts w:asciiTheme="minorHAnsi" w:hAnsiTheme="minorHAnsi" w:cs="Calibri"/>
                <w:spacing w:val="-2"/>
                <w:sz w:val="20"/>
                <w:lang w:val="en-GB"/>
              </w:rPr>
              <w:t>£ per thousand gross tonne mile for freight and £  per vehicle mile for passenger</w:t>
            </w:r>
          </w:p>
          <w:p w:rsidR="00DC105B" w:rsidRPr="000A6B0A" w:rsidRDefault="00DC105B" w:rsidP="0086605D">
            <w:pPr>
              <w:pStyle w:val="Tabellentextrechts"/>
              <w:spacing w:before="0" w:after="0"/>
              <w:jc w:val="center"/>
              <w:rPr>
                <w:rFonts w:asciiTheme="minorHAnsi" w:hAnsiTheme="minorHAnsi" w:cs="Calibri"/>
                <w:spacing w:val="-2"/>
                <w:sz w:val="20"/>
                <w:lang w:val="en-GB"/>
              </w:rPr>
            </w:pP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All services pay this charge but it varies based on the vehicles used and for freight, also the commodity carried.</w:t>
            </w:r>
          </w:p>
        </w:tc>
        <w:tc>
          <w:tcPr>
            <w:tcW w:w="2921" w:type="dxa"/>
            <w:vAlign w:val="center"/>
          </w:tcPr>
          <w:p w:rsidR="00DC105B" w:rsidRPr="000A6B0A" w:rsidRDefault="00DC105B" w:rsidP="0086605D">
            <w:pPr>
              <w:pStyle w:val="Tabellentextrechts"/>
              <w:spacing w:before="0" w:after="0"/>
              <w:jc w:val="center"/>
              <w:rPr>
                <w:rFonts w:asciiTheme="minorHAnsi" w:hAnsiTheme="minorHAnsi" w:cs="Calibri"/>
                <w:spacing w:val="-2"/>
                <w:sz w:val="20"/>
                <w:lang w:val="en-GB"/>
              </w:rPr>
            </w:pPr>
            <w:r w:rsidRPr="000A6B0A">
              <w:rPr>
                <w:rFonts w:asciiTheme="minorHAnsi" w:hAnsiTheme="minorHAnsi" w:cs="Calibri"/>
                <w:spacing w:val="-2"/>
                <w:sz w:val="20"/>
                <w:lang w:val="en-GB"/>
              </w:rPr>
              <w:t>Covers the maintenance and renewal costs that vary with traffic in terms of the incremental damage the service does to the track, civils and signalling infrastructure</w:t>
            </w: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Traction electricity charge</w:t>
            </w:r>
          </w:p>
        </w:tc>
        <w:tc>
          <w:tcPr>
            <w:tcW w:w="1535"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kWh. For services that are not metered, this is modelled per train mile for multiple units, otherwise per kgtm</w:t>
            </w: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Operators have option of using modelled consumption rates or metering their use of electricity</w:t>
            </w:r>
          </w:p>
        </w:tc>
        <w:tc>
          <w:tcPr>
            <w:tcW w:w="2921"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Network Rail recovers their costs of providing electricity for traction purposes. </w:t>
            </w: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Electrification asset usage charge</w:t>
            </w:r>
          </w:p>
        </w:tc>
        <w:tc>
          <w:tcPr>
            <w:tcW w:w="1535"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p>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vehicle mile (passenger)</w:t>
            </w:r>
          </w:p>
          <w:p w:rsidR="00DC105B" w:rsidRPr="000A6B0A" w:rsidRDefault="00082371"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 per thousand gross </w:t>
            </w:r>
            <w:r w:rsidR="00DC105B" w:rsidRPr="000A6B0A">
              <w:rPr>
                <w:rFonts w:asciiTheme="minorHAnsi" w:hAnsiTheme="minorHAnsi" w:cs="Calibri"/>
                <w:sz w:val="20"/>
                <w:lang w:val="en-GB"/>
              </w:rPr>
              <w:t>tonne mile (freight)</w:t>
            </w: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Applied to all electrically powered services</w:t>
            </w:r>
          </w:p>
        </w:tc>
        <w:tc>
          <w:tcPr>
            <w:tcW w:w="2921"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Recovers maintenance and renewal costs of electrification assets that vary with traffic. </w:t>
            </w: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Coal spillage charge</w:t>
            </w:r>
          </w:p>
        </w:tc>
        <w:tc>
          <w:tcPr>
            <w:tcW w:w="1535"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thousand gross tonne</w:t>
            </w:r>
            <w:r w:rsidR="00763F22" w:rsidRPr="000A6B0A">
              <w:rPr>
                <w:rFonts w:asciiTheme="minorHAnsi" w:hAnsiTheme="minorHAnsi" w:cs="Calibri"/>
                <w:sz w:val="20"/>
                <w:lang w:val="en-GB"/>
              </w:rPr>
              <w:t xml:space="preserve"> </w:t>
            </w:r>
            <w:r w:rsidRPr="000A6B0A">
              <w:rPr>
                <w:rFonts w:asciiTheme="minorHAnsi" w:hAnsiTheme="minorHAnsi" w:cs="Calibri"/>
                <w:sz w:val="20"/>
                <w:lang w:val="en-GB"/>
              </w:rPr>
              <w:t>miles</w:t>
            </w: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Only applicable to freight trains carrying coal</w:t>
            </w:r>
          </w:p>
        </w:tc>
        <w:tc>
          <w:tcPr>
            <w:tcW w:w="2921"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xml:space="preserve">Recovers cost of coal spillage </w:t>
            </w:r>
          </w:p>
        </w:tc>
      </w:tr>
      <w:tr w:rsidR="00DA46A3" w:rsidRPr="00C54CEB" w:rsidTr="00DC105B">
        <w:trPr>
          <w:jc w:val="center"/>
        </w:trPr>
        <w:tc>
          <w:tcPr>
            <w:tcW w:w="1441" w:type="dxa"/>
            <w:vAlign w:val="center"/>
          </w:tcPr>
          <w:p w:rsidR="00DA46A3" w:rsidRPr="000A6B0A" w:rsidRDefault="00DA46A3"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 xml:space="preserve"> Capacity charge</w:t>
            </w:r>
          </w:p>
          <w:p w:rsidR="00DA46A3" w:rsidRPr="000A6B0A" w:rsidRDefault="00DA46A3">
            <w:pPr>
              <w:jc w:val="center"/>
              <w:rPr>
                <w:rFonts w:asciiTheme="minorHAnsi" w:hAnsiTheme="minorHAnsi" w:cs="Calibri"/>
                <w:b/>
                <w:sz w:val="20"/>
                <w:szCs w:val="20"/>
                <w:lang w:val="en-GB" w:eastAsia="de-CH"/>
              </w:rPr>
            </w:pPr>
          </w:p>
        </w:tc>
        <w:tc>
          <w:tcPr>
            <w:tcW w:w="1535" w:type="dxa"/>
            <w:vAlign w:val="center"/>
          </w:tcPr>
          <w:p w:rsidR="00DA46A3" w:rsidRPr="000A6B0A" w:rsidRDefault="00DA46A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train mile</w:t>
            </w:r>
          </w:p>
        </w:tc>
        <w:tc>
          <w:tcPr>
            <w:tcW w:w="2352" w:type="dxa"/>
            <w:vAlign w:val="center"/>
          </w:tcPr>
          <w:p w:rsidR="00DA46A3" w:rsidRPr="000A6B0A" w:rsidRDefault="00DA46A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Applied to all types of train operators</w:t>
            </w:r>
          </w:p>
        </w:tc>
        <w:tc>
          <w:tcPr>
            <w:tcW w:w="2921" w:type="dxa"/>
            <w:vAlign w:val="center"/>
          </w:tcPr>
          <w:p w:rsidR="00DA46A3" w:rsidRPr="000A6B0A" w:rsidRDefault="00DA46A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Intended to allow Network Rail to recover the performance regime costs that it incurs by allowing additional traffic onto the network</w:t>
            </w:r>
          </w:p>
        </w:tc>
      </w:tr>
      <w:tr w:rsidR="004F3353" w:rsidRPr="00C54CEB" w:rsidTr="00DC105B">
        <w:trPr>
          <w:jc w:val="center"/>
        </w:trPr>
        <w:tc>
          <w:tcPr>
            <w:tcW w:w="1441" w:type="dxa"/>
            <w:vAlign w:val="center"/>
          </w:tcPr>
          <w:p w:rsidR="004F3353" w:rsidRPr="000A6B0A" w:rsidRDefault="004F3353"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Fixed Track Access Charge</w:t>
            </w:r>
          </w:p>
        </w:tc>
        <w:tc>
          <w:tcPr>
            <w:tcW w:w="1535" w:type="dxa"/>
            <w:vAlign w:val="center"/>
          </w:tcPr>
          <w:p w:rsidR="004F3353" w:rsidRPr="000A6B0A" w:rsidRDefault="004F335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Lump sum charge determined for the control period (5 years)</w:t>
            </w:r>
          </w:p>
        </w:tc>
        <w:tc>
          <w:tcPr>
            <w:tcW w:w="2352" w:type="dxa"/>
            <w:vAlign w:val="center"/>
          </w:tcPr>
          <w:p w:rsidR="004F3353" w:rsidRPr="000A6B0A" w:rsidRDefault="004F335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Applies to passenger services under public service contracts (franchises) only</w:t>
            </w:r>
          </w:p>
        </w:tc>
        <w:tc>
          <w:tcPr>
            <w:tcW w:w="2921" w:type="dxa"/>
            <w:vAlign w:val="center"/>
          </w:tcPr>
          <w:p w:rsidR="004F3353" w:rsidRPr="000A6B0A" w:rsidRDefault="004F335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Determined on basis of Network Rail’s revenue requirement after accounting for the income received from variable track access charges, regulated station charges, other single till income and network grant.</w:t>
            </w: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Freight only line charge</w:t>
            </w:r>
          </w:p>
        </w:tc>
        <w:tc>
          <w:tcPr>
            <w:tcW w:w="1535"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thousand gross tonne mile</w:t>
            </w: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Applies to freight services carrying coal for electricity generators, nuclear fuel or iron ore.</w:t>
            </w:r>
          </w:p>
          <w:p w:rsidR="00F043FC" w:rsidRPr="000A6B0A" w:rsidRDefault="00F043FC" w:rsidP="0086605D">
            <w:pPr>
              <w:pStyle w:val="Tabellentextrechts"/>
              <w:spacing w:before="0" w:after="0"/>
              <w:jc w:val="center"/>
              <w:rPr>
                <w:rFonts w:asciiTheme="minorHAnsi" w:hAnsiTheme="minorHAnsi" w:cs="Calibri"/>
                <w:sz w:val="20"/>
                <w:lang w:val="en-GB"/>
              </w:rPr>
            </w:pPr>
          </w:p>
          <w:p w:rsidR="00F043FC" w:rsidRPr="000A6B0A" w:rsidRDefault="00F043FC" w:rsidP="0086605D">
            <w:pPr>
              <w:pStyle w:val="Tabellentextrechts"/>
              <w:spacing w:before="0" w:after="0"/>
              <w:jc w:val="center"/>
              <w:rPr>
                <w:rFonts w:asciiTheme="minorHAnsi" w:hAnsiTheme="minorHAnsi" w:cs="Calibri"/>
                <w:sz w:val="20"/>
                <w:lang w:val="en-GB"/>
              </w:rPr>
            </w:pPr>
          </w:p>
        </w:tc>
        <w:tc>
          <w:tcPr>
            <w:tcW w:w="2921" w:type="dxa"/>
            <w:vAlign w:val="center"/>
          </w:tcPr>
          <w:p w:rsidR="00C417E1" w:rsidRDefault="00C417E1" w:rsidP="0086605D">
            <w:pPr>
              <w:pStyle w:val="Tabellentextrechts"/>
              <w:spacing w:before="0" w:after="0"/>
              <w:jc w:val="center"/>
              <w:rPr>
                <w:rFonts w:asciiTheme="minorHAnsi" w:hAnsiTheme="minorHAnsi" w:cs="Calibri"/>
                <w:sz w:val="20"/>
                <w:lang w:val="en-GB"/>
              </w:rPr>
            </w:pPr>
            <w:r>
              <w:rPr>
                <w:rFonts w:asciiTheme="minorHAnsi" w:hAnsiTheme="minorHAnsi" w:cs="Calibri"/>
                <w:sz w:val="20"/>
                <w:lang w:val="en-GB"/>
              </w:rPr>
              <w:t>Recovers some of the fixed costs</w:t>
            </w:r>
            <w:r w:rsidR="00874083">
              <w:rPr>
                <w:rFonts w:asciiTheme="minorHAnsi" w:hAnsiTheme="minorHAnsi" w:cs="Calibri"/>
                <w:sz w:val="20"/>
                <w:lang w:val="en-GB"/>
              </w:rPr>
              <w:t xml:space="preserve"> </w:t>
            </w:r>
            <w:r>
              <w:rPr>
                <w:rFonts w:asciiTheme="minorHAnsi" w:hAnsiTheme="minorHAnsi" w:cs="Calibri"/>
                <w:sz w:val="20"/>
                <w:lang w:val="en-GB"/>
              </w:rPr>
              <w:t>associated with freight only lines.</w:t>
            </w:r>
          </w:p>
          <w:p w:rsidR="00DC105B" w:rsidRPr="000A6B0A" w:rsidRDefault="00DC105B" w:rsidP="0086605D">
            <w:pPr>
              <w:pStyle w:val="Tabellentextrechts"/>
              <w:spacing w:before="0" w:after="0"/>
              <w:jc w:val="center"/>
              <w:rPr>
                <w:rFonts w:asciiTheme="minorHAnsi" w:hAnsiTheme="minorHAnsi" w:cs="Calibri"/>
                <w:sz w:val="20"/>
                <w:lang w:val="en-GB"/>
              </w:rPr>
            </w:pPr>
          </w:p>
        </w:tc>
      </w:tr>
      <w:tr w:rsidR="00DC105B" w:rsidRPr="00C54CEB" w:rsidTr="00DC105B">
        <w:trPr>
          <w:jc w:val="center"/>
        </w:trPr>
        <w:tc>
          <w:tcPr>
            <w:tcW w:w="1441" w:type="dxa"/>
            <w:vAlign w:val="center"/>
          </w:tcPr>
          <w:p w:rsidR="00DC105B" w:rsidRPr="000A6B0A" w:rsidRDefault="00DC105B" w:rsidP="0086605D">
            <w:pPr>
              <w:pStyle w:val="Tabellenkopf"/>
              <w:spacing w:before="0" w:after="0"/>
              <w:jc w:val="center"/>
              <w:rPr>
                <w:rFonts w:asciiTheme="minorHAnsi" w:hAnsiTheme="minorHAnsi" w:cs="Calibri"/>
                <w:b/>
                <w:sz w:val="20"/>
                <w:lang w:val="en-GB"/>
              </w:rPr>
            </w:pPr>
            <w:r w:rsidRPr="000A6B0A">
              <w:rPr>
                <w:rFonts w:asciiTheme="minorHAnsi" w:hAnsiTheme="minorHAnsi" w:cs="Calibri"/>
                <w:b/>
                <w:sz w:val="20"/>
                <w:lang w:val="en-GB"/>
              </w:rPr>
              <w:t>Freight specific charge</w:t>
            </w:r>
          </w:p>
        </w:tc>
        <w:tc>
          <w:tcPr>
            <w:tcW w:w="1535"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 per thousand gross tonne mile</w:t>
            </w:r>
          </w:p>
        </w:tc>
        <w:tc>
          <w:tcPr>
            <w:tcW w:w="2352" w:type="dxa"/>
            <w:vAlign w:val="center"/>
          </w:tcPr>
          <w:p w:rsidR="00DC105B" w:rsidRPr="000A6B0A" w:rsidRDefault="00DC105B"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Applies to freight services carrying coal for electricity generators, nuclear fuel or iron ore.</w:t>
            </w:r>
          </w:p>
        </w:tc>
        <w:tc>
          <w:tcPr>
            <w:tcW w:w="2921" w:type="dxa"/>
            <w:vAlign w:val="center"/>
          </w:tcPr>
          <w:p w:rsidR="00DC105B" w:rsidRPr="000A6B0A" w:rsidRDefault="004F3353" w:rsidP="0086605D">
            <w:pPr>
              <w:pStyle w:val="Tabellentextrechts"/>
              <w:spacing w:before="0" w:after="0"/>
              <w:jc w:val="center"/>
              <w:rPr>
                <w:rFonts w:asciiTheme="minorHAnsi" w:hAnsiTheme="minorHAnsi" w:cs="Calibri"/>
                <w:sz w:val="20"/>
                <w:lang w:val="en-GB"/>
              </w:rPr>
            </w:pPr>
            <w:r w:rsidRPr="000A6B0A">
              <w:rPr>
                <w:rFonts w:asciiTheme="minorHAnsi" w:hAnsiTheme="minorHAnsi" w:cs="Calibri"/>
                <w:sz w:val="20"/>
                <w:lang w:val="en-GB"/>
              </w:rPr>
              <w:t>Recovers ‘freight avoidable costs’ - the costs that would be foregone if freight services were to no longer use the network.</w:t>
            </w:r>
          </w:p>
        </w:tc>
      </w:tr>
    </w:tbl>
    <w:p w:rsidR="0011196E" w:rsidRPr="000A6B0A" w:rsidRDefault="0011196E" w:rsidP="0086605D">
      <w:pPr>
        <w:autoSpaceDE w:val="0"/>
        <w:autoSpaceDN w:val="0"/>
        <w:adjustRightInd w:val="0"/>
        <w:rPr>
          <w:rFonts w:asciiTheme="minorHAnsi" w:hAnsiTheme="minorHAnsi" w:cs="Calibri"/>
          <w:sz w:val="24"/>
          <w:szCs w:val="24"/>
          <w:lang w:val="en-GB"/>
        </w:rPr>
      </w:pPr>
    </w:p>
    <w:sectPr w:rsidR="0011196E" w:rsidRPr="000A6B0A" w:rsidSect="003946FB">
      <w:pgSz w:w="11907" w:h="16839"/>
      <w:pgMar w:top="1258" w:right="1287" w:bottom="100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0F" w:rsidRDefault="004F360F">
      <w:r>
        <w:separator/>
      </w:r>
    </w:p>
    <w:p w:rsidR="004F360F" w:rsidRDefault="004F360F"/>
  </w:endnote>
  <w:endnote w:type="continuationSeparator" w:id="0">
    <w:p w:rsidR="004F360F" w:rsidRDefault="004F360F">
      <w:r>
        <w:continuationSeparator/>
      </w:r>
    </w:p>
    <w:p w:rsidR="004F360F" w:rsidRDefault="004F3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Albertin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2F" w:rsidRDefault="00F76A2F" w:rsidP="00520BF3">
    <w:pPr>
      <w:pStyle w:val="Pieddepage"/>
      <w:framePr w:wrap="around" w:vAnchor="text" w:hAnchor="margin" w:xAlign="right" w:y="1"/>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end"/>
    </w:r>
  </w:p>
  <w:p w:rsidR="00F76A2F" w:rsidRDefault="00F76A2F" w:rsidP="0068074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2F" w:rsidRPr="00BE5533" w:rsidRDefault="00F76A2F" w:rsidP="00520BF3">
    <w:pPr>
      <w:pStyle w:val="Pieddepage"/>
      <w:framePr w:wrap="around" w:vAnchor="text" w:hAnchor="margin" w:xAlign="right" w:y="1"/>
      <w:rPr>
        <w:rStyle w:val="Numrodepage"/>
        <w:rFonts w:cs="Arial"/>
        <w:sz w:val="16"/>
      </w:rPr>
    </w:pPr>
    <w:r w:rsidRPr="00BE5533">
      <w:rPr>
        <w:rStyle w:val="Numrodepage"/>
        <w:rFonts w:cs="Arial"/>
        <w:sz w:val="16"/>
      </w:rPr>
      <w:fldChar w:fldCharType="begin"/>
    </w:r>
    <w:r w:rsidRPr="00BE5533">
      <w:rPr>
        <w:rStyle w:val="Numrodepage"/>
        <w:rFonts w:cs="Arial"/>
        <w:sz w:val="16"/>
      </w:rPr>
      <w:instrText xml:space="preserve">PAGE  </w:instrText>
    </w:r>
    <w:r w:rsidRPr="00BE5533">
      <w:rPr>
        <w:rStyle w:val="Numrodepage"/>
        <w:rFonts w:cs="Arial"/>
        <w:sz w:val="16"/>
      </w:rPr>
      <w:fldChar w:fldCharType="separate"/>
    </w:r>
    <w:r w:rsidR="00A5140C">
      <w:rPr>
        <w:rStyle w:val="Numrodepage"/>
        <w:rFonts w:cs="Arial"/>
        <w:noProof/>
        <w:sz w:val="16"/>
      </w:rPr>
      <w:t>1</w:t>
    </w:r>
    <w:r w:rsidRPr="00BE5533">
      <w:rPr>
        <w:rStyle w:val="Numrodepage"/>
        <w:rFonts w:cs="Arial"/>
        <w:sz w:val="16"/>
      </w:rPr>
      <w:fldChar w:fldCharType="end"/>
    </w:r>
  </w:p>
  <w:p w:rsidR="00F76A2F" w:rsidRPr="00566585" w:rsidRDefault="00F76A2F" w:rsidP="00680748">
    <w:pPr>
      <w:pStyle w:val="Pieddepage"/>
      <w:ind w:right="360"/>
      <w:rPr>
        <w:rFonts w:ascii="Calibri" w:hAnsi="Calibri" w:cs="Calibri"/>
      </w:rPr>
    </w:pPr>
    <w:r>
      <w:rPr>
        <w:rStyle w:val="Numrodepage"/>
        <w:rFonts w:cs="Arial"/>
      </w:rPr>
      <w:tab/>
    </w:r>
    <w:r>
      <w:rPr>
        <w:rStyle w:val="Numrodepage"/>
        <w:rFonts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C" w:rsidRDefault="00A514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0F" w:rsidRDefault="004F360F">
      <w:r>
        <w:separator/>
      </w:r>
    </w:p>
    <w:p w:rsidR="004F360F" w:rsidRDefault="004F360F"/>
  </w:footnote>
  <w:footnote w:type="continuationSeparator" w:id="0">
    <w:p w:rsidR="004F360F" w:rsidRDefault="004F360F">
      <w:r>
        <w:continuationSeparator/>
      </w:r>
    </w:p>
    <w:p w:rsidR="004F360F" w:rsidRDefault="004F360F"/>
  </w:footnote>
  <w:footnote w:id="1">
    <w:p w:rsidR="00F76A2F" w:rsidRPr="00D70DA5" w:rsidRDefault="00F76A2F" w:rsidP="00D70DA5">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IRG-Rail, </w:t>
      </w:r>
      <w:r w:rsidRPr="0086605D">
        <w:rPr>
          <w:rFonts w:asciiTheme="minorHAnsi" w:hAnsiTheme="minorHAnsi"/>
          <w:sz w:val="16"/>
          <w:szCs w:val="16"/>
        </w:rPr>
        <w:t>An introduction to the calculation of direct costs in respect of implementing regulation 2015/909, November 2016.</w:t>
      </w:r>
    </w:p>
  </w:footnote>
  <w:footnote w:id="2">
    <w:p w:rsidR="00F76A2F" w:rsidRPr="0086605D" w:rsidRDefault="00F76A2F">
      <w:pPr>
        <w:jc w:val="both"/>
        <w:rPr>
          <w:rFonts w:asciiTheme="minorHAnsi" w:hAnsiTheme="minorHAnsi"/>
          <w:sz w:val="16"/>
          <w:szCs w:val="16"/>
          <w:lang w:val="en-GB"/>
        </w:rPr>
      </w:pPr>
      <w:r w:rsidRPr="0086605D">
        <w:rPr>
          <w:rStyle w:val="Appelnotedebasdep"/>
          <w:rFonts w:asciiTheme="minorHAnsi" w:hAnsiTheme="minorHAnsi" w:cs="Arial"/>
          <w:sz w:val="16"/>
          <w:szCs w:val="16"/>
          <w:lang w:val="en-GB"/>
        </w:rPr>
        <w:footnoteRef/>
      </w:r>
      <w:r w:rsidRPr="00D70DA5">
        <w:rPr>
          <w:rFonts w:asciiTheme="minorHAnsi" w:hAnsiTheme="minorHAnsi"/>
          <w:sz w:val="16"/>
          <w:szCs w:val="16"/>
          <w:lang w:val="en-GB"/>
        </w:rPr>
        <w:t xml:space="preserve"> </w:t>
      </w:r>
      <w:r w:rsidRPr="00D70DA5">
        <w:rPr>
          <w:rFonts w:asciiTheme="minorHAnsi" w:hAnsiTheme="minorHAnsi" w:cs="Calibri"/>
          <w:sz w:val="16"/>
          <w:szCs w:val="16"/>
          <w:u w:val="single"/>
          <w:lang w:val="en-GB"/>
        </w:rPr>
        <w:t>Note</w:t>
      </w:r>
      <w:r w:rsidRPr="00D70DA5">
        <w:rPr>
          <w:rFonts w:asciiTheme="minorHAnsi" w:hAnsiTheme="minorHAnsi" w:cs="Calibri"/>
          <w:sz w:val="16"/>
          <w:szCs w:val="16"/>
          <w:lang w:val="en-GB"/>
        </w:rPr>
        <w:t>: this table only refers to the mainline network of the incumbent. In some countries, this excludes high-speed lines where high speed trains (generally speed ≥200 km/h) are the only ones allowed. Other countries have a mixed usage of their whole network.</w:t>
      </w:r>
    </w:p>
  </w:footnote>
  <w:footnote w:id="3">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The charging system for 2018 foresees mark-ups, but they are not approved yet.</w:t>
      </w:r>
    </w:p>
  </w:footnote>
  <w:footnote w:id="4">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D70DA5">
        <w:rPr>
          <w:rFonts w:asciiTheme="minorHAnsi" w:hAnsiTheme="minorHAnsi" w:cs="Calibri"/>
          <w:sz w:val="16"/>
          <w:szCs w:val="16"/>
        </w:rPr>
        <w:t>For Belgium, the charging system according the implementing act 2015/909 will be implemented for the service of 2019. A proposal with this respect is discussion with the Ministry of Transport and the RB.</w:t>
      </w:r>
    </w:p>
  </w:footnote>
  <w:footnote w:id="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The Danish IM charge for passing the two major bridges in Denmark. The regulatory body has not been checking the charging system for these bridge charges.</w:t>
      </w:r>
      <w:r w:rsidRPr="00D70DA5">
        <w:rPr>
          <w:rFonts w:asciiTheme="minorHAnsi" w:hAnsiTheme="minorHAnsi" w:cs="Calibri"/>
          <w:sz w:val="16"/>
          <w:szCs w:val="16"/>
        </w:rPr>
        <w:t>.</w:t>
      </w:r>
    </w:p>
  </w:footnote>
  <w:footnote w:id="6">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But the new methodology will be implemented in December 2017 which does levy charges reflecting Article 31(3).</w:t>
      </w:r>
    </w:p>
  </w:footnote>
  <w:footnote w:id="7">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Applied to the new high speed line between Tours and Bordeaux and to the French section of the Channel Tunnel.</w:t>
      </w:r>
    </w:p>
  </w:footnote>
  <w:footnote w:id="8">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Incentives are included in the contract between state and IM, concluded in 2017.</w:t>
      </w:r>
    </w:p>
  </w:footnote>
  <w:footnote w:id="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The Greek IM gradually applies the implementing regulation.</w:t>
      </w:r>
    </w:p>
  </w:footnote>
  <w:footnote w:id="10">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Based on a current year cost analysis and a forecast of future costs.</w:t>
      </w:r>
    </w:p>
  </w:footnote>
  <w:footnote w:id="11">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Additionally, the IM applies article 32(2) of the Recast for the carriage of goods from and to third countries operated on a network whose track gauge is different from the main rail network within the Union, infrastructure managers may set higher charges in order to obtain full costs recovery of the costs incurred.</w:t>
      </w:r>
    </w:p>
  </w:footnote>
  <w:footnote w:id="12">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Incentives will be part of the contract between state and IM, which is expected to be concluded soon.</w:t>
      </w:r>
    </w:p>
  </w:footnote>
  <w:footnote w:id="13">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Only on lines designated by Transport Ministry (currently: high speed -only).</w:t>
      </w:r>
    </w:p>
  </w:footnote>
  <w:footnote w:id="14">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Currently under examination.</w:t>
      </w:r>
    </w:p>
  </w:footnote>
  <w:footnote w:id="1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Currently under examination.</w:t>
      </w:r>
    </w:p>
  </w:footnote>
  <w:footnote w:id="16">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The actual charging model is being updated in order to adequate with the national diploma which transposed the Recast and the Reg. 2015/909 rules.</w:t>
      </w:r>
    </w:p>
  </w:footnote>
  <w:footnote w:id="17">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The charging model is being revised. It is not yet defined if the charges will be set on a yearly basis. At the moment, these are set on a yearly basis, but Portugal is in a transitional period.</w:t>
      </w:r>
    </w:p>
  </w:footnote>
  <w:footnote w:id="18">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Current access charges design is transitory; the new Railway Law which transpose the Recast Directive and foresees a direct cost approach.</w:t>
      </w:r>
    </w:p>
  </w:footnote>
  <w:footnote w:id="19">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But it is legally possible</w:t>
      </w:r>
    </w:p>
  </w:footnote>
  <w:footnote w:id="20">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Not applicable at present, but legally possible</w:t>
      </w:r>
    </w:p>
  </w:footnote>
  <w:footnote w:id="21">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Not applicable at present, but legally possible</w:t>
      </w:r>
    </w:p>
  </w:footnote>
  <w:footnote w:id="22">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 xml:space="preserve">Reductions for international complete freight trains in transit on the national territory </w:t>
      </w:r>
    </w:p>
  </w:footnote>
  <w:footnote w:id="23">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But it is legally possible</w:t>
      </w:r>
    </w:p>
  </w:footnote>
  <w:footnote w:id="24">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Implemented through the contract between the State and the IM.</w:t>
      </w:r>
    </w:p>
  </w:footnote>
  <w:footnote w:id="2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Current access charges design is transitory as a new railway Law has been promulgated in September 2015. This law transposes the Recast Directive and foresees a direct cost approach.</w:t>
      </w:r>
    </w:p>
  </w:footnote>
  <w:footnote w:id="26">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Not applicable at present, but legally possible</w:t>
      </w:r>
    </w:p>
  </w:footnote>
  <w:footnote w:id="27">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Not applicable at present, but legally possible</w:t>
      </w:r>
    </w:p>
  </w:footnote>
  <w:footnote w:id="28">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Not applicable at present, but legally possible</w:t>
      </w:r>
    </w:p>
  </w:footnote>
  <w:footnote w:id="2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Although High Speed 1 has this and there may be more examples in the future.</w:t>
      </w:r>
    </w:p>
  </w:footnote>
  <w:footnote w:id="30">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Periodic review, 5 years.</w:t>
      </w:r>
    </w:p>
  </w:footnote>
  <w:footnote w:id="31">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See ART Decision 96/2015, available at the link: http://www.autorita-trasporti.it/wp-content/uploads/2015/12/Determination-of-charges-for-access-and-use-of-railway-infrastructure_ARTs-Regulatory-measures1.pdf</w:t>
      </w:r>
    </w:p>
  </w:footnote>
  <w:footnote w:id="32">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Pr>
          <w:rFonts w:asciiTheme="minorHAnsi" w:hAnsiTheme="minorHAnsi"/>
          <w:sz w:val="16"/>
          <w:szCs w:val="16"/>
        </w:rPr>
        <w:t>A new proceeding</w:t>
      </w:r>
      <w:r w:rsidRPr="00D70DA5">
        <w:rPr>
          <w:rFonts w:asciiTheme="minorHAnsi" w:hAnsiTheme="minorHAnsi"/>
          <w:sz w:val="16"/>
          <w:szCs w:val="16"/>
        </w:rPr>
        <w:t xml:space="preserve"> started in May 2017 in order to review some specific components of the Italian access charges system owing to the introduction of new passenger services on HS lines, i.e. the coupled trains (decision 77/2017). The proceeding is intended to end by 30 November 2017</w:t>
      </w:r>
    </w:p>
  </w:footnote>
  <w:footnote w:id="33">
    <w:p w:rsidR="00A676E3" w:rsidRPr="00A676E3" w:rsidRDefault="00A676E3" w:rsidP="0019119A">
      <w:pPr>
        <w:pStyle w:val="Notedebasdepage"/>
        <w:spacing w:before="0" w:after="0" w:line="240" w:lineRule="auto"/>
      </w:pPr>
      <w:r>
        <w:rPr>
          <w:rStyle w:val="Appelnotedebasdep"/>
        </w:rPr>
        <w:footnoteRef/>
      </w:r>
      <w:r>
        <w:t xml:space="preserve"> </w:t>
      </w:r>
      <w:r w:rsidRPr="0019119A">
        <w:rPr>
          <w:rFonts w:asciiTheme="minorHAnsi" w:hAnsiTheme="minorHAnsi"/>
          <w:sz w:val="16"/>
          <w:szCs w:val="16"/>
        </w:rPr>
        <w:t>This is also due to the different national policies in terms of public compensation and subsidies – see paragraph 3.4</w:t>
      </w:r>
    </w:p>
  </w:footnote>
  <w:footnote w:id="34">
    <w:p w:rsidR="00F76A2F" w:rsidRPr="0086605D" w:rsidRDefault="00F76A2F">
      <w:pPr>
        <w:jc w:val="both"/>
        <w:rPr>
          <w:rFonts w:asciiTheme="minorHAnsi" w:hAnsiTheme="minorHAnsi"/>
          <w:sz w:val="16"/>
          <w:szCs w:val="16"/>
          <w:lang w:val="en-GB"/>
        </w:rPr>
      </w:pPr>
      <w:r w:rsidRPr="0086605D">
        <w:rPr>
          <w:rStyle w:val="Appelnotedebasdep"/>
          <w:rFonts w:asciiTheme="minorHAnsi" w:hAnsiTheme="minorHAnsi"/>
          <w:sz w:val="16"/>
          <w:szCs w:val="16"/>
          <w:lang w:val="en-GB"/>
        </w:rPr>
        <w:footnoteRef/>
      </w:r>
      <w:r w:rsidRPr="0086605D">
        <w:rPr>
          <w:rFonts w:asciiTheme="minorHAnsi" w:hAnsiTheme="minorHAnsi"/>
          <w:sz w:val="16"/>
          <w:szCs w:val="16"/>
          <w:lang w:val="en-GB"/>
        </w:rPr>
        <w:t xml:space="preserve"> It is worth noting that, in November 2014, IRG-Rail has adopted a position paper providing a common initial approach to capacity charging. </w:t>
      </w:r>
    </w:p>
  </w:footnote>
  <w:footnote w:id="3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The IM may use the bonus/malus formula and the modalities provided for by Commission Implementing Regulation (EU) 2015/429.</w:t>
      </w:r>
    </w:p>
  </w:footnote>
  <w:footnote w:id="36">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Only for passenger services.</w:t>
      </w:r>
    </w:p>
  </w:footnote>
  <w:footnote w:id="37">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D70DA5">
        <w:rPr>
          <w:rFonts w:asciiTheme="minorHAnsi" w:hAnsiTheme="minorHAnsi" w:cs="Calibri"/>
          <w:sz w:val="16"/>
          <w:szCs w:val="16"/>
        </w:rPr>
        <w:t>In Belgium, the IM is in discussion with the RB about it performance regime.</w:t>
      </w:r>
    </w:p>
  </w:footnote>
  <w:footnote w:id="38">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Late cancellation or non-use fees. Depends on cancellation time.</w:t>
      </w:r>
    </w:p>
  </w:footnote>
  <w:footnote w:id="3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Charge combined with mark-ups levied under article 32.1 of Directive 2012/34/EU.</w:t>
      </w:r>
    </w:p>
  </w:footnote>
  <w:footnote w:id="40">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Noise differentiated track access charges for freight trains.</w:t>
      </w:r>
    </w:p>
  </w:footnote>
  <w:footnote w:id="41">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 xml:space="preserve">Cancellation fee referring to the withdrawal or changes in a train path or part of a train path, e.g. train running days, changes of departure time, departure or arrival point or changes in train characteristics like velocity. Minimum cancellation charge is applied for cancellations until 31. </w:t>
      </w:r>
      <w:r w:rsidRPr="00D70DA5">
        <w:rPr>
          <w:rFonts w:asciiTheme="minorHAnsi" w:hAnsiTheme="minorHAnsi" w:cs="Calibri"/>
          <w:sz w:val="16"/>
          <w:szCs w:val="16"/>
        </w:rPr>
        <w:t>day before the ride. Between the 30. day and the train ride a higher percentage is due.</w:t>
      </w:r>
    </w:p>
  </w:footnote>
  <w:footnote w:id="42">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A reservation fee is invoiced to avoid abusive reservations.</w:t>
      </w:r>
    </w:p>
  </w:footnote>
  <w:footnote w:id="43">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Noise-related and path quality related (both optional).</w:t>
      </w:r>
    </w:p>
  </w:footnote>
  <w:footnote w:id="44">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lang w:eastAsia="en-US"/>
        </w:rPr>
        <w:t>Noise only</w:t>
      </w:r>
      <w:r w:rsidRPr="00D70DA5">
        <w:rPr>
          <w:rFonts w:asciiTheme="minorHAnsi" w:hAnsiTheme="minorHAnsi" w:cs="Calibri"/>
          <w:sz w:val="16"/>
          <w:szCs w:val="16"/>
        </w:rPr>
        <w:t>.</w:t>
      </w:r>
    </w:p>
  </w:footnote>
  <w:footnote w:id="4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Late cancellation or non-use fees. Depends on cancellation time.</w:t>
      </w:r>
    </w:p>
  </w:footnote>
  <w:footnote w:id="46">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Implemented but not used yet.</w:t>
      </w:r>
    </w:p>
  </w:footnote>
  <w:footnote w:id="47">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Currently under implementation.</w:t>
      </w:r>
    </w:p>
  </w:footnote>
  <w:footnote w:id="48">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Implemented but not used yet.</w:t>
      </w:r>
    </w:p>
  </w:footnote>
  <w:footnote w:id="4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In Portugal the implementation of Regulation (EU) 2015/909 will most likely require changes in the charging system of the IM. The charging system currently in use by the IM has been developed under Regulation IMTT 630/2011, issued by the former regulatory body pursuant to the former legal framework and is not completely in line with Directive 2012/34/EU and the cost methodologies introduced by Regulation 2015/909. The Portuguese system is in a transitional period. IM is now reviewing its charging model, so is expected some changes</w:t>
      </w:r>
      <w:r w:rsidRPr="00D70DA5">
        <w:rPr>
          <w:rFonts w:asciiTheme="minorHAnsi" w:hAnsiTheme="minorHAnsi" w:cs="Calibri"/>
          <w:sz w:val="16"/>
          <w:szCs w:val="16"/>
        </w:rPr>
        <w:t>.</w:t>
      </w:r>
    </w:p>
  </w:footnote>
  <w:footnote w:id="50">
    <w:p w:rsidR="00F76A2F" w:rsidRPr="0086605D" w:rsidRDefault="00F76A2F" w:rsidP="0086605D">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Implemented but not used yet</w:t>
      </w:r>
    </w:p>
  </w:footnote>
  <w:footnote w:id="51">
    <w:p w:rsidR="00F76A2F" w:rsidRPr="00D70DA5" w:rsidRDefault="00F76A2F">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86605D">
        <w:rPr>
          <w:rFonts w:asciiTheme="minorHAnsi" w:hAnsiTheme="minorHAnsi" w:cs="Calibri"/>
          <w:sz w:val="16"/>
          <w:szCs w:val="16"/>
        </w:rPr>
        <w:t>Implemented but not used yet..</w:t>
      </w:r>
    </w:p>
  </w:footnote>
  <w:footnote w:id="52">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Implemented but not used yet</w:t>
      </w:r>
    </w:p>
  </w:footnote>
  <w:footnote w:id="53">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Late cancellation or non-use fees. Depends on cancellation time.</w:t>
      </w:r>
    </w:p>
  </w:footnote>
  <w:footnote w:id="54">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Current access charges design is transitory as a new Railway Law has been promulgated in September 2015. This law transposes the Recast Directive and foresees a direct cost approach.</w:t>
      </w:r>
    </w:p>
  </w:footnote>
  <w:footnote w:id="5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A performance scheme is in place</w:t>
      </w:r>
      <w:r w:rsidRPr="00D70DA5">
        <w:rPr>
          <w:rFonts w:asciiTheme="minorHAnsi" w:hAnsiTheme="minorHAnsi" w:cs="Calibri"/>
          <w:sz w:val="16"/>
          <w:szCs w:val="16"/>
        </w:rPr>
        <w:t>.</w:t>
      </w:r>
    </w:p>
  </w:footnote>
  <w:footnote w:id="56">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There is only a reservation charge on the High Speed 1.</w:t>
      </w:r>
    </w:p>
  </w:footnote>
  <w:footnote w:id="57">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D70DA5">
        <w:rPr>
          <w:rFonts w:asciiTheme="minorHAnsi" w:hAnsiTheme="minorHAnsi"/>
          <w:noProof/>
          <w:sz w:val="16"/>
          <w:szCs w:val="16"/>
        </w:rPr>
        <w:t>In Italy, ART has competences on passenger rights for the following transportation modes: railways, bus and navigation.</w:t>
      </w:r>
    </w:p>
  </w:footnote>
  <w:footnote w:id="58">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Finnish RB is an independent function within the safety authority</w:t>
      </w:r>
      <w:r w:rsidRPr="00D70DA5">
        <w:rPr>
          <w:rFonts w:asciiTheme="minorHAnsi" w:hAnsiTheme="minorHAnsi"/>
          <w:sz w:val="16"/>
          <w:szCs w:val="16"/>
        </w:rPr>
        <w:t>.</w:t>
      </w:r>
    </w:p>
  </w:footnote>
  <w:footnote w:id="59">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However, it is a common safety authority for railways, roads, aviation and maritime</w:t>
      </w:r>
      <w:r w:rsidRPr="00D70DA5">
        <w:rPr>
          <w:rFonts w:asciiTheme="minorHAnsi" w:hAnsiTheme="minorHAnsi"/>
          <w:sz w:val="16"/>
          <w:szCs w:val="16"/>
        </w:rPr>
        <w:t>.</w:t>
      </w:r>
    </w:p>
  </w:footnote>
  <w:footnote w:id="60">
    <w:p w:rsidR="00F76A2F" w:rsidRPr="0086605D"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For some regulatory bodies, the legal basis for this mission could be different from the transposition of the Directive 2001/14/EC or the Directive 2012/34/EU.</w:t>
      </w:r>
    </w:p>
  </w:footnote>
  <w:footnote w:id="61">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Although the regulatory body in Norway does not have ex ante control of charging principles and level of charges, the regulatory body is active in providing guidance about the regulation before the implementation of new charges.</w:t>
      </w:r>
    </w:p>
  </w:footnote>
  <w:footnote w:id="62">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In Norway, the Ministry is only involved in the approval of mark-ups (according to article 32.1 of directive 2012/34/EU).</w:t>
      </w:r>
    </w:p>
  </w:footnote>
  <w:footnote w:id="63">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All the documents of the consultations and the final decision are available on the ART website: </w:t>
      </w:r>
      <w:hyperlink r:id="rId1" w:history="1">
        <w:r w:rsidRPr="0086605D">
          <w:rPr>
            <w:rStyle w:val="Lienhypertexte"/>
            <w:rFonts w:asciiTheme="minorHAnsi" w:hAnsiTheme="minorHAnsi"/>
            <w:color w:val="auto"/>
            <w:sz w:val="16"/>
            <w:szCs w:val="16"/>
          </w:rPr>
          <w:t>www.autorita-trasporti.it</w:t>
        </w:r>
      </w:hyperlink>
      <w:r w:rsidRPr="00D70DA5">
        <w:rPr>
          <w:rFonts w:asciiTheme="minorHAnsi" w:hAnsiTheme="minorHAnsi"/>
          <w:sz w:val="16"/>
          <w:szCs w:val="16"/>
        </w:rPr>
        <w:t xml:space="preserve">. The final assessment, decision 75/2016 is available in English at the following address: </w:t>
      </w:r>
      <w:hyperlink r:id="rId2" w:history="1">
        <w:r w:rsidRPr="0086605D">
          <w:rPr>
            <w:rStyle w:val="Lienhypertexte"/>
            <w:rFonts w:asciiTheme="minorHAnsi" w:hAnsiTheme="minorHAnsi"/>
            <w:color w:val="auto"/>
            <w:sz w:val="16"/>
            <w:szCs w:val="16"/>
          </w:rPr>
          <w:t>http://www.autorita-trasporti.it/wp-content/uploads/2013/11/Delibera-nr.-75-2016-english-version.pdf</w:t>
        </w:r>
      </w:hyperlink>
      <w:r w:rsidRPr="00D70DA5">
        <w:rPr>
          <w:rFonts w:asciiTheme="minorHAnsi" w:hAnsiTheme="minorHAnsi"/>
          <w:sz w:val="16"/>
          <w:szCs w:val="16"/>
        </w:rPr>
        <w:t>.</w:t>
      </w:r>
    </w:p>
  </w:footnote>
  <w:footnote w:id="64">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Ex-ante only in case of mark-ups</w:t>
      </w:r>
      <w:r w:rsidRPr="00D70DA5">
        <w:rPr>
          <w:rFonts w:asciiTheme="minorHAnsi" w:hAnsiTheme="minorHAnsi"/>
          <w:sz w:val="16"/>
          <w:szCs w:val="16"/>
        </w:rPr>
        <w:t>.</w:t>
      </w:r>
    </w:p>
  </w:footnote>
  <w:footnote w:id="65">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Ex-ante only in case of mark-ups</w:t>
      </w:r>
      <w:r w:rsidRPr="00D70DA5">
        <w:rPr>
          <w:rFonts w:asciiTheme="minorHAnsi" w:hAnsiTheme="minorHAnsi"/>
          <w:sz w:val="16"/>
          <w:szCs w:val="16"/>
        </w:rPr>
        <w:t>.</w:t>
      </w:r>
    </w:p>
  </w:footnote>
  <w:footnote w:id="66">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The ex post assessment might take into account the level of charges in order to evaluate the conformity of regulatory criteria, such as the non discrimination principle.</w:t>
      </w:r>
    </w:p>
  </w:footnote>
  <w:footnote w:id="67">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Although ex post competences are envisaged in Spanish Railway Act, their implementation is difficult as access charges are included in General Budget Law</w:t>
      </w:r>
      <w:r w:rsidRPr="00D70DA5">
        <w:rPr>
          <w:rFonts w:asciiTheme="minorHAnsi" w:hAnsiTheme="minorHAnsi"/>
          <w:sz w:val="16"/>
          <w:szCs w:val="16"/>
        </w:rPr>
        <w:t>.</w:t>
      </w:r>
    </w:p>
  </w:footnote>
  <w:footnote w:id="68">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Arial"/>
          <w:sz w:val="16"/>
          <w:szCs w:val="16"/>
        </w:rPr>
        <w:t>Although ex post competences are envisaged in Spanish Railway Act, their implementation is difficult as access charges are included in General Budget Law</w:t>
      </w:r>
      <w:r w:rsidRPr="00D70DA5">
        <w:rPr>
          <w:rFonts w:asciiTheme="minorHAnsi" w:hAnsiTheme="minorHAnsi"/>
          <w:sz w:val="16"/>
          <w:szCs w:val="16"/>
        </w:rPr>
        <w:t>.</w:t>
      </w:r>
    </w:p>
  </w:footnote>
  <w:footnote w:id="69">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ORR uses top-down benchmarking to assess Network Rail’s efficiency allowing her to set Network Rail’s cost efficiency savings targets. ORR does not use top-down benchmarking to set the level of charges to recover cost directly incurred. </w:t>
      </w:r>
    </w:p>
  </w:footnote>
  <w:footnote w:id="70">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This is not the case for Italy, as explained above.</w:t>
      </w:r>
    </w:p>
  </w:footnote>
  <w:footnote w:id="71">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Efficient costs refer to direct costs calculated as described in Article 3(2) of Commission Implementing Regulation n°2015/909.</w:t>
      </w:r>
    </w:p>
  </w:footnote>
  <w:footnote w:id="72">
    <w:p w:rsidR="00F76A2F" w:rsidRPr="00D70DA5" w:rsidRDefault="00F76A2F">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The difference methodology refers to the methodology presented in Commission Implementing Regulation n°2015/909.</w:t>
      </w:r>
      <w:r w:rsidRPr="00D70DA5">
        <w:rPr>
          <w:rFonts w:asciiTheme="minorHAnsi" w:hAnsiTheme="minorHAnsi"/>
          <w:sz w:val="16"/>
          <w:szCs w:val="16"/>
          <w:lang w:val="en-US"/>
        </w:rPr>
        <w:t xml:space="preserve"> </w:t>
      </w:r>
    </w:p>
  </w:footnote>
  <w:footnote w:id="73">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Based on the IM’s methodology, operation costs are not included.</w:t>
      </w:r>
    </w:p>
  </w:footnote>
  <w:footnote w:id="74">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The answer for Germany displays a situation after the transposition of the Directive 2012/34/EU into German law. The new rail regulation law came into force September 2016.</w:t>
      </w:r>
    </w:p>
  </w:footnote>
  <w:footnote w:id="75">
    <w:p w:rsidR="003946FB" w:rsidRPr="00093D54" w:rsidRDefault="003946FB" w:rsidP="003946FB">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Pr>
          <w:rFonts w:asciiTheme="minorHAnsi" w:hAnsiTheme="minorHAnsi"/>
          <w:sz w:val="16"/>
          <w:szCs w:val="16"/>
        </w:rPr>
        <w:t>T</w:t>
      </w:r>
      <w:r w:rsidRPr="003946FB">
        <w:rPr>
          <w:rFonts w:asciiTheme="minorHAnsi" w:hAnsiTheme="minorHAnsi"/>
          <w:sz w:val="16"/>
          <w:szCs w:val="16"/>
        </w:rPr>
        <w:t>he Gree</w:t>
      </w:r>
      <w:r>
        <w:rPr>
          <w:rFonts w:asciiTheme="minorHAnsi" w:hAnsiTheme="minorHAnsi"/>
          <w:sz w:val="16"/>
          <w:szCs w:val="16"/>
        </w:rPr>
        <w:t>k answer is marked “Non- Applicable” yet as</w:t>
      </w:r>
      <w:r w:rsidRPr="003946FB">
        <w:rPr>
          <w:rFonts w:asciiTheme="minorHAnsi" w:hAnsiTheme="minorHAnsi"/>
          <w:sz w:val="16"/>
          <w:szCs w:val="16"/>
        </w:rPr>
        <w:t xml:space="preserve"> </w:t>
      </w:r>
      <w:r>
        <w:rPr>
          <w:rFonts w:asciiTheme="minorHAnsi" w:hAnsiTheme="minorHAnsi"/>
          <w:sz w:val="16"/>
          <w:szCs w:val="16"/>
        </w:rPr>
        <w:t>a</w:t>
      </w:r>
      <w:r w:rsidRPr="003946FB">
        <w:rPr>
          <w:rFonts w:asciiTheme="minorHAnsi" w:hAnsiTheme="minorHAnsi"/>
          <w:sz w:val="16"/>
          <w:szCs w:val="16"/>
        </w:rPr>
        <w:t xml:space="preserve"> phasing in plan and the new charging system are expected from the IM</w:t>
      </w:r>
      <w:r w:rsidRPr="00D70DA5">
        <w:rPr>
          <w:rFonts w:asciiTheme="minorHAnsi" w:hAnsiTheme="minorHAnsi"/>
          <w:sz w:val="16"/>
          <w:szCs w:val="16"/>
        </w:rPr>
        <w:t>.</w:t>
      </w:r>
    </w:p>
  </w:footnote>
  <w:footnote w:id="76">
    <w:p w:rsidR="00F76A2F" w:rsidRPr="0086605D" w:rsidRDefault="00F76A2F" w:rsidP="0086605D">
      <w:pPr>
        <w:pStyle w:val="Notedebasdepage"/>
        <w:spacing w:before="0" w:after="0"/>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Slovakia is currently preparing a new charging system.</w:t>
      </w:r>
    </w:p>
  </w:footnote>
  <w:footnote w:id="77">
    <w:p w:rsidR="00F76A2F" w:rsidRPr="0086605D" w:rsidRDefault="00F76A2F" w:rsidP="0086605D">
      <w:pPr>
        <w:pStyle w:val="Notedebasdepage"/>
        <w:spacing w:before="0" w:after="0"/>
        <w:rPr>
          <w:rFonts w:asciiTheme="minorHAnsi" w:hAnsiTheme="minorHAnsi"/>
          <w:sz w:val="16"/>
          <w:szCs w:val="16"/>
          <w:lang w:val="en-US"/>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86605D">
        <w:rPr>
          <w:rFonts w:asciiTheme="minorHAnsi" w:hAnsiTheme="minorHAnsi"/>
          <w:sz w:val="16"/>
          <w:szCs w:val="16"/>
          <w:lang w:val="en-US"/>
        </w:rPr>
        <w:t xml:space="preserve">With the exception of the charge related to the use of the tracks. For this charge, the Spanish law do not allow to recover the renewal cost </w:t>
      </w:r>
    </w:p>
  </w:footnote>
  <w:footnote w:id="78">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D70DA5">
        <w:rPr>
          <w:rFonts w:asciiTheme="minorHAnsi" w:hAnsiTheme="minorHAnsi"/>
          <w:sz w:val="16"/>
          <w:szCs w:val="16"/>
        </w:rPr>
        <w:t>Article 2111-10-1 of the French Transportation Code states that the regulator’s opinion should notably focus on (1) the relevance of the revenue forecasts from the project and (2) on the adequacy between these revenue forecasts and projected investment costs.</w:t>
      </w:r>
    </w:p>
  </w:footnote>
  <w:footnote w:id="7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Note that target prices may be set for individual projects or efficient cost may be calculated for a portfolio of projects. In case of a portfolio, the infrastructure manager is able to overspend on one project, provided that there is no net change on the overall portfolio cost.</w:t>
      </w:r>
    </w:p>
  </w:footnote>
  <w:footnote w:id="80">
    <w:p w:rsidR="00F76A2F" w:rsidRPr="0086605D" w:rsidRDefault="00F76A2F" w:rsidP="0086605D">
      <w:pPr>
        <w:pStyle w:val="Notedebasdepage"/>
        <w:spacing w:before="0" w:after="0"/>
        <w:rPr>
          <w:rFonts w:asciiTheme="minorHAnsi" w:hAnsiTheme="minorHAnsi"/>
          <w:sz w:val="16"/>
          <w:szCs w:val="16"/>
          <w:lang w:val="en-US"/>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D70DA5">
        <w:rPr>
          <w:rFonts w:asciiTheme="minorHAnsi" w:hAnsiTheme="minorHAnsi" w:cstheme="minorHAnsi"/>
          <w:sz w:val="16"/>
          <w:szCs w:val="16"/>
          <w:lang w:val="en-US"/>
        </w:rPr>
        <w:t>Regional subsidies to the IM are refund through a reduction of access charges to the RUs that operate in that Region.</w:t>
      </w:r>
      <w:r w:rsidRPr="0086605D">
        <w:rPr>
          <w:rFonts w:asciiTheme="minorHAnsi" w:hAnsiTheme="minorHAnsi"/>
          <w:sz w:val="16"/>
          <w:szCs w:val="16"/>
          <w:lang w:val="en-US"/>
        </w:rPr>
        <w:t xml:space="preserve"> </w:t>
      </w:r>
    </w:p>
  </w:footnote>
  <w:footnote w:id="81">
    <w:p w:rsidR="00F76A2F" w:rsidRPr="0086605D" w:rsidRDefault="00F76A2F" w:rsidP="0086605D">
      <w:pPr>
        <w:pStyle w:val="Notedebasdepage"/>
        <w:spacing w:before="0" w:after="0"/>
        <w:rPr>
          <w:rFonts w:asciiTheme="minorHAnsi" w:hAnsiTheme="minorHAnsi"/>
          <w:sz w:val="16"/>
          <w:szCs w:val="16"/>
          <w:lang w:val="en-US"/>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w:t>
      </w:r>
      <w:r w:rsidRPr="00D70DA5">
        <w:rPr>
          <w:rFonts w:asciiTheme="minorHAnsi" w:hAnsiTheme="minorHAnsi" w:cstheme="minorHAnsi"/>
          <w:sz w:val="16"/>
          <w:szCs w:val="16"/>
        </w:rPr>
        <w:t>See footnote above.</w:t>
      </w:r>
    </w:p>
  </w:footnote>
  <w:footnote w:id="82">
    <w:p w:rsidR="00F76A2F" w:rsidRPr="0086605D" w:rsidRDefault="00F76A2F" w:rsidP="0086605D">
      <w:pPr>
        <w:pStyle w:val="Notedebasdepage"/>
        <w:spacing w:before="0" w:after="0" w:line="240" w:lineRule="auto"/>
        <w:rPr>
          <w:rFonts w:asciiTheme="minorHAnsi" w:hAnsiTheme="minorHAnsi"/>
          <w:sz w:val="16"/>
          <w:szCs w:val="16"/>
          <w:lang w:val="en-US"/>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Only for the charges of the service facilities.</w:t>
      </w:r>
    </w:p>
  </w:footnote>
  <w:footnote w:id="83">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http://www.amt-autoridade.pt/decisões/</w:t>
      </w:r>
    </w:p>
  </w:footnote>
  <w:footnote w:id="84">
    <w:p w:rsidR="00F76A2F" w:rsidRPr="0086605D" w:rsidRDefault="00F76A2F" w:rsidP="0086605D">
      <w:pPr>
        <w:pStyle w:val="Notedebasdepage"/>
        <w:spacing w:before="0" w:after="0" w:line="240" w:lineRule="auto"/>
        <w:rPr>
          <w:rFonts w:asciiTheme="minorHAnsi" w:hAnsiTheme="minorHAnsi"/>
          <w:sz w:val="16"/>
          <w:szCs w:val="16"/>
        </w:rPr>
      </w:pPr>
      <w:r w:rsidRPr="0086605D">
        <w:rPr>
          <w:rStyle w:val="Appelnotedebasdep"/>
          <w:rFonts w:asciiTheme="minorHAnsi" w:hAnsiTheme="minorHAnsi"/>
          <w:sz w:val="16"/>
          <w:szCs w:val="16"/>
        </w:rPr>
        <w:footnoteRef/>
      </w:r>
      <w:r w:rsidRPr="0086605D">
        <w:rPr>
          <w:rFonts w:asciiTheme="minorHAnsi" w:hAnsiTheme="minorHAnsi"/>
          <w:sz w:val="16"/>
          <w:szCs w:val="16"/>
        </w:rPr>
        <w:t xml:space="preserve"> The approval of the mark-ups was revoked by the Administrative Court and the investigation was referred back to the regulatory body for a new trial.</w:t>
      </w:r>
    </w:p>
  </w:footnote>
  <w:footnote w:id="85">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The other infrastructure managers regulated by ARAFER are not considered here.</w:t>
      </w:r>
    </w:p>
  </w:footnote>
  <w:footnote w:id="86">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w:t>
      </w:r>
      <w:r w:rsidRPr="0086605D">
        <w:rPr>
          <w:rFonts w:asciiTheme="minorHAnsi" w:hAnsiTheme="minorHAnsi" w:cs="Calibri"/>
          <w:sz w:val="16"/>
          <w:szCs w:val="16"/>
        </w:rPr>
        <w:t>Figures are copied from DB Netz AG (2017), The Track Access Charges 2018 of DB Netz AG;</w:t>
      </w:r>
      <w:r w:rsidRPr="0086605D">
        <w:rPr>
          <w:rFonts w:asciiTheme="minorHAnsi" w:hAnsiTheme="minorHAnsi" w:cs="Calibri"/>
          <w:sz w:val="16"/>
          <w:szCs w:val="16"/>
        </w:rPr>
        <w:tab/>
        <w:t xml:space="preserve"> http://fahrweg.dbnetze.com/file/fahrweg-en/14069476/wEJOWHhzkE7lehpKIKZVcG5QccE/15062906/data/track_access_charges_2018.pdf.</w:t>
      </w:r>
    </w:p>
  </w:footnote>
  <w:footnote w:id="87">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Italy implemented the Recast with the Legislative Decree 112/2015 in July 2015.</w:t>
      </w:r>
    </w:p>
  </w:footnote>
  <w:footnote w:id="88">
    <w:p w:rsidR="00F76A2F" w:rsidRPr="00D70DA5" w:rsidRDefault="00F76A2F" w:rsidP="0086605D">
      <w:pPr>
        <w:pStyle w:val="Notedebasdepage"/>
        <w:spacing w:before="0" w:after="0" w:line="240" w:lineRule="auto"/>
        <w:rPr>
          <w:rFonts w:asciiTheme="minorHAnsi" w:hAnsiTheme="minorHAnsi"/>
          <w:sz w:val="16"/>
          <w:szCs w:val="16"/>
        </w:rPr>
      </w:pPr>
      <w:r w:rsidRPr="00D70DA5">
        <w:rPr>
          <w:rFonts w:asciiTheme="minorHAnsi" w:hAnsiTheme="minorHAnsi"/>
          <w:sz w:val="16"/>
          <w:szCs w:val="16"/>
        </w:rPr>
        <w:footnoteRef/>
      </w:r>
      <w:r w:rsidRPr="00D70DA5">
        <w:rPr>
          <w:rFonts w:asciiTheme="minorHAnsi" w:hAnsiTheme="minorHAnsi"/>
          <w:sz w:val="16"/>
          <w:szCs w:val="16"/>
        </w:rPr>
        <w:t xml:space="preserve"> A new proceedings started in May 2017 in order to review some specific components of the Italian access charges system owing to the introduction of new passenger services on HS lines, i.e. the coupled trains (decision 77/2017). The proceeding is intended to end by 30 November 2017.</w:t>
      </w:r>
    </w:p>
  </w:footnote>
  <w:footnote w:id="89">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In order to transpose Directive 2012/34/EU, currently responsible institutions and stakeholders in Latvia have started to develop new charging scheme. Significant changes are therefore planned.</w:t>
      </w:r>
    </w:p>
  </w:footnote>
  <w:footnote w:id="90">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Infraestruturas de Portugal, S.A. is a state-owned company resulting from the merger of Rede Ferroviária Nacional – REFER, E.P.E. (REFER) and EP - Estradas de Portugal, S.A. (EP, S.A.) through which REFER was merged into EP, becoming a public limited company named Infraestruturas de Portugal, S.A. (IP). The merger became legally effective on 1 June 2015 upon publication of Decree-Law no. 91/2015, of 29 May.</w:t>
      </w:r>
    </w:p>
  </w:footnote>
  <w:footnote w:id="91">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sz w:val="16"/>
          <w:szCs w:val="16"/>
        </w:rPr>
        <w:footnoteRef/>
      </w:r>
      <w:r w:rsidRPr="00D70DA5">
        <w:rPr>
          <w:rFonts w:asciiTheme="minorHAnsi" w:hAnsiTheme="minorHAnsi"/>
          <w:sz w:val="16"/>
          <w:szCs w:val="16"/>
        </w:rPr>
        <w:t xml:space="preserve"> In Romania has not yet implemented a new charging scheme, based on the Regulation 2015/909. At the moment, CFR SA, the Romanian IM, is in procedure to hire a consultant for a new charging model.</w:t>
      </w:r>
    </w:p>
  </w:footnote>
  <w:footnote w:id="92">
    <w:p w:rsidR="00F76A2F" w:rsidRPr="00D70DA5" w:rsidRDefault="00F76A2F">
      <w:pPr>
        <w:pStyle w:val="Notedebasdepage"/>
        <w:spacing w:before="0" w:after="0" w:line="240" w:lineRule="auto"/>
        <w:rPr>
          <w:rFonts w:asciiTheme="minorHAnsi" w:hAnsiTheme="minorHAnsi"/>
          <w:sz w:val="16"/>
          <w:szCs w:val="16"/>
        </w:rPr>
      </w:pPr>
      <w:r w:rsidRPr="00D70DA5">
        <w:rPr>
          <w:rStyle w:val="Appelnotedebasdep"/>
          <w:rFonts w:asciiTheme="minorHAnsi" w:hAnsiTheme="minorHAnsi" w:cs="Calibri"/>
          <w:sz w:val="16"/>
          <w:szCs w:val="16"/>
        </w:rPr>
        <w:footnoteRef/>
      </w:r>
      <w:r w:rsidRPr="0086605D">
        <w:rPr>
          <w:rFonts w:asciiTheme="minorHAnsi" w:hAnsiTheme="minorHAnsi" w:cs="Calibri"/>
          <w:sz w:val="16"/>
          <w:szCs w:val="16"/>
        </w:rPr>
        <w:t xml:space="preserve"> All other infrastructure managers are not considered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C" w:rsidRDefault="00A514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A2F" w:rsidRDefault="00A5140C" w:rsidP="00A5140C">
    <w:pPr>
      <w:pStyle w:val="En-tte"/>
      <w:tabs>
        <w:tab w:val="clear" w:pos="4536"/>
        <w:tab w:val="center" w:pos="2520"/>
      </w:tabs>
    </w:pPr>
    <w:r w:rsidRPr="37344BDB">
      <w:rPr>
        <w:b/>
        <w:bCs/>
        <w:sz w:val="20"/>
        <w:szCs w:val="20"/>
      </w:rPr>
      <w:t xml:space="preserve">IRG-Rail (17) </w:t>
    </w:r>
    <w:r>
      <w:rPr>
        <w:b/>
        <w:bCs/>
        <w:sz w:val="20"/>
        <w:szCs w:val="20"/>
      </w:rPr>
      <w:t xml:space="preserve">5           </w:t>
    </w:r>
    <w:bookmarkStart w:id="8" w:name="_GoBack"/>
    <w:bookmarkEnd w:id="8"/>
    <w:r>
      <w:rPr>
        <w:b/>
        <w:bCs/>
        <w:sz w:val="20"/>
        <w:szCs w:val="20"/>
      </w:rPr>
      <w:t xml:space="preserve">                                                        </w:t>
    </w:r>
    <w:r w:rsidR="00F76A2F">
      <w:rPr>
        <w:b/>
        <w:noProof/>
        <w:lang w:val="en-GB" w:eastAsia="en-GB"/>
      </w:rPr>
      <w:drawing>
        <wp:inline distT="0" distB="0" distL="0" distR="0" wp14:anchorId="450E140D" wp14:editId="48240B77">
          <wp:extent cx="2339340" cy="914400"/>
          <wp:effectExtent l="0" t="0" r="381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34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0C" w:rsidRDefault="00A5140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09F"/>
    <w:multiLevelType w:val="hybridMultilevel"/>
    <w:tmpl w:val="DA72DCAE"/>
    <w:lvl w:ilvl="0" w:tplc="3DECF5F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7C6730E"/>
    <w:multiLevelType w:val="hybridMultilevel"/>
    <w:tmpl w:val="2146D09A"/>
    <w:lvl w:ilvl="0" w:tplc="7F567626">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77853"/>
    <w:multiLevelType w:val="multilevel"/>
    <w:tmpl w:val="F15849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301F85"/>
    <w:multiLevelType w:val="multilevel"/>
    <w:tmpl w:val="C5C498EC"/>
    <w:lvl w:ilvl="0">
      <w:start w:val="1"/>
      <w:numFmt w:val="decimal"/>
      <w:pStyle w:val="Titre1"/>
      <w:lvlText w:val="%1."/>
      <w:lvlJc w:val="left"/>
      <w:pPr>
        <w:tabs>
          <w:tab w:val="num" w:pos="0"/>
        </w:tabs>
      </w:pPr>
      <w:rPr>
        <w:rFonts w:cs="Times New Roman" w:hint="default"/>
      </w:rPr>
    </w:lvl>
    <w:lvl w:ilvl="1">
      <w:start w:val="7"/>
      <w:numFmt w:val="decimal"/>
      <w:pStyle w:val="Titre2"/>
      <w:lvlText w:val="%1.%2"/>
      <w:lvlJc w:val="left"/>
      <w:pPr>
        <w:tabs>
          <w:tab w:val="num" w:pos="0"/>
        </w:tabs>
      </w:pPr>
      <w:rPr>
        <w:rFonts w:cs="Times New Roman" w:hint="default"/>
      </w:rPr>
    </w:lvl>
    <w:lvl w:ilvl="2">
      <w:start w:val="1"/>
      <w:numFmt w:val="decimal"/>
      <w:pStyle w:val="Titre3"/>
      <w:lvlText w:val="%1.%2.%3"/>
      <w:lvlJc w:val="left"/>
      <w:pPr>
        <w:tabs>
          <w:tab w:val="num" w:pos="0"/>
        </w:tabs>
      </w:pPr>
      <w:rPr>
        <w:rFonts w:cs="Times New Roman" w:hint="default"/>
        <w:i w:val="0"/>
      </w:rPr>
    </w:lvl>
    <w:lvl w:ilvl="3">
      <w:start w:val="1"/>
      <w:numFmt w:val="decimal"/>
      <w:pStyle w:val="Titre4"/>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pStyle w:val="Titre8"/>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
    <w:nsid w:val="0EA61ED2"/>
    <w:multiLevelType w:val="multilevel"/>
    <w:tmpl w:val="43AC76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F8F0C14"/>
    <w:multiLevelType w:val="hybridMultilevel"/>
    <w:tmpl w:val="2FB82186"/>
    <w:lvl w:ilvl="0" w:tplc="665C324A">
      <w:start w:val="1"/>
      <w:numFmt w:val="bullet"/>
      <w:lvlText w:val=""/>
      <w:lvlJc w:val="left"/>
      <w:pPr>
        <w:tabs>
          <w:tab w:val="num" w:pos="360"/>
        </w:tabs>
        <w:ind w:left="36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64047A1"/>
    <w:multiLevelType w:val="hybridMultilevel"/>
    <w:tmpl w:val="46DCF5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6753DD1"/>
    <w:multiLevelType w:val="hybridMultilevel"/>
    <w:tmpl w:val="8D9E4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2576FA"/>
    <w:multiLevelType w:val="hybridMultilevel"/>
    <w:tmpl w:val="6D9C86AC"/>
    <w:lvl w:ilvl="0" w:tplc="3DECF5F4">
      <w:numFmt w:val="bullet"/>
      <w:lvlText w:val="-"/>
      <w:lvlJc w:val="left"/>
      <w:pPr>
        <w:tabs>
          <w:tab w:val="num" w:pos="360"/>
        </w:tabs>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83C75FB"/>
    <w:multiLevelType w:val="hybridMultilevel"/>
    <w:tmpl w:val="BC405DC0"/>
    <w:lvl w:ilvl="0" w:tplc="7B980884">
      <w:start w:val="1"/>
      <w:numFmt w:val="decimal"/>
      <w:pStyle w:val="ListeANumros"/>
      <w:lvlText w:val="%1."/>
      <w:lvlJc w:val="left"/>
      <w:pPr>
        <w:tabs>
          <w:tab w:val="num" w:pos="340"/>
        </w:tabs>
        <w:ind w:left="340" w:hanging="340"/>
      </w:pPr>
      <w:rPr>
        <w:rFonts w:ascii="Arial Narrow" w:hAnsi="Arial Narrow"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nsid w:val="19CF53AA"/>
    <w:multiLevelType w:val="hybridMultilevel"/>
    <w:tmpl w:val="8CF4D432"/>
    <w:lvl w:ilvl="0" w:tplc="41EEC7A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0225FA"/>
    <w:multiLevelType w:val="hybridMultilevel"/>
    <w:tmpl w:val="3FC6FF86"/>
    <w:lvl w:ilvl="0" w:tplc="3DECF5F4">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23565D92"/>
    <w:multiLevelType w:val="hybridMultilevel"/>
    <w:tmpl w:val="6ED8B9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3F76154"/>
    <w:multiLevelType w:val="hybridMultilevel"/>
    <w:tmpl w:val="5D4477C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3F82805"/>
    <w:multiLevelType w:val="hybridMultilevel"/>
    <w:tmpl w:val="DF902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067A6D"/>
    <w:multiLevelType w:val="hybridMultilevel"/>
    <w:tmpl w:val="E68C3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9FF6783"/>
    <w:multiLevelType w:val="hybridMultilevel"/>
    <w:tmpl w:val="CEC280C0"/>
    <w:lvl w:ilvl="0" w:tplc="080C0001">
      <w:start w:val="1"/>
      <w:numFmt w:val="bullet"/>
      <w:lvlText w:val=""/>
      <w:lvlJc w:val="left"/>
      <w:pPr>
        <w:ind w:left="780" w:hanging="360"/>
      </w:pPr>
      <w:rPr>
        <w:rFonts w:ascii="Symbol" w:hAnsi="Symbol" w:hint="default"/>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17">
    <w:nsid w:val="30782F4E"/>
    <w:multiLevelType w:val="hybridMultilevel"/>
    <w:tmpl w:val="23805856"/>
    <w:lvl w:ilvl="0" w:tplc="3DECF5F4">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370B5310"/>
    <w:multiLevelType w:val="hybridMultilevel"/>
    <w:tmpl w:val="8FBA7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9EE2C72"/>
    <w:multiLevelType w:val="hybridMultilevel"/>
    <w:tmpl w:val="4B2C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8830A3"/>
    <w:multiLevelType w:val="hybridMultilevel"/>
    <w:tmpl w:val="4848493C"/>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21">
    <w:nsid w:val="4A6379C3"/>
    <w:multiLevelType w:val="hybridMultilevel"/>
    <w:tmpl w:val="26866EA4"/>
    <w:lvl w:ilvl="0" w:tplc="3DECF5F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4F967A9A"/>
    <w:multiLevelType w:val="hybridMultilevel"/>
    <w:tmpl w:val="B4C223D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544F3345"/>
    <w:multiLevelType w:val="hybridMultilevel"/>
    <w:tmpl w:val="4784022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555D293E"/>
    <w:multiLevelType w:val="hybridMultilevel"/>
    <w:tmpl w:val="CA18AF6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A0E121B"/>
    <w:multiLevelType w:val="hybridMultilevel"/>
    <w:tmpl w:val="9B28EE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nsid w:val="5BE76C43"/>
    <w:multiLevelType w:val="hybridMultilevel"/>
    <w:tmpl w:val="DD801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192B5B"/>
    <w:multiLevelType w:val="hybridMultilevel"/>
    <w:tmpl w:val="D658816C"/>
    <w:lvl w:ilvl="0" w:tplc="B0ECC98C">
      <w:start w:val="1"/>
      <w:numFmt w:val="bullet"/>
      <w:pStyle w:val="ListeAPuces"/>
      <w:lvlText w:val=""/>
      <w:lvlJc w:val="left"/>
      <w:pPr>
        <w:tabs>
          <w:tab w:val="num" w:pos="340"/>
        </w:tabs>
        <w:ind w:left="340" w:hanging="34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5F66101B"/>
    <w:multiLevelType w:val="hybridMultilevel"/>
    <w:tmpl w:val="02D4E8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73C4090"/>
    <w:multiLevelType w:val="hybridMultilevel"/>
    <w:tmpl w:val="2D7E7FE4"/>
    <w:lvl w:ilvl="0" w:tplc="040C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293604"/>
    <w:multiLevelType w:val="hybridMultilevel"/>
    <w:tmpl w:val="2E44475C"/>
    <w:lvl w:ilvl="0" w:tplc="3DECF5F4">
      <w:numFmt w:val="bullet"/>
      <w:lvlText w:val="-"/>
      <w:lvlJc w:val="left"/>
      <w:pPr>
        <w:tabs>
          <w:tab w:val="num" w:pos="720"/>
        </w:tabs>
        <w:ind w:left="720" w:hanging="360"/>
      </w:pPr>
      <w:rPr>
        <w:rFonts w:ascii="Calibri" w:eastAsia="Times New Roman" w:hAnsi="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92448E9"/>
    <w:multiLevelType w:val="hybridMultilevel"/>
    <w:tmpl w:val="AA6C5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nsid w:val="699C6442"/>
    <w:multiLevelType w:val="hybridMultilevel"/>
    <w:tmpl w:val="7114AD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A464964"/>
    <w:multiLevelType w:val="multilevel"/>
    <w:tmpl w:val="F15849F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B06DB9"/>
    <w:multiLevelType w:val="hybridMultilevel"/>
    <w:tmpl w:val="43268AAC"/>
    <w:lvl w:ilvl="0" w:tplc="3DECF5F4">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nsid w:val="79E52B3F"/>
    <w:multiLevelType w:val="hybridMultilevel"/>
    <w:tmpl w:val="8C202D42"/>
    <w:lvl w:ilvl="0" w:tplc="0426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B41B88"/>
    <w:multiLevelType w:val="hybridMultilevel"/>
    <w:tmpl w:val="DADCCF40"/>
    <w:lvl w:ilvl="0" w:tplc="042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F3E50EA"/>
    <w:multiLevelType w:val="hybridMultilevel"/>
    <w:tmpl w:val="AF5E5ED2"/>
    <w:lvl w:ilvl="0" w:tplc="042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8"/>
  </w:num>
  <w:num w:numId="4">
    <w:abstractNumId w:val="9"/>
  </w:num>
  <w:num w:numId="5">
    <w:abstractNumId w:val="27"/>
  </w:num>
  <w:num w:numId="6">
    <w:abstractNumId w:val="30"/>
  </w:num>
  <w:num w:numId="7">
    <w:abstractNumId w:val="26"/>
  </w:num>
  <w:num w:numId="8">
    <w:abstractNumId w:val="19"/>
  </w:num>
  <w:num w:numId="9">
    <w:abstractNumId w:val="10"/>
  </w:num>
  <w:num w:numId="10">
    <w:abstractNumId w:val="5"/>
  </w:num>
  <w:num w:numId="11">
    <w:abstractNumId w:val="22"/>
  </w:num>
  <w:num w:numId="12">
    <w:abstractNumId w:val="29"/>
  </w:num>
  <w:num w:numId="13">
    <w:abstractNumId w:val="4"/>
  </w:num>
  <w:num w:numId="14">
    <w:abstractNumId w:val="3"/>
    <w:lvlOverride w:ilvl="0">
      <w:startOverride w:val="4"/>
    </w:lvlOverride>
    <w:lvlOverride w:ilvl="1">
      <w:startOverride w:val="1"/>
    </w:lvlOverride>
  </w:num>
  <w:num w:numId="15">
    <w:abstractNumId w:val="24"/>
  </w:num>
  <w:num w:numId="16">
    <w:abstractNumId w:val="20"/>
  </w:num>
  <w:num w:numId="17">
    <w:abstractNumId w:val="35"/>
  </w:num>
  <w:num w:numId="18">
    <w:abstractNumId w:val="32"/>
  </w:num>
  <w:num w:numId="19">
    <w:abstractNumId w:val="12"/>
  </w:num>
  <w:num w:numId="20">
    <w:abstractNumId w:val="18"/>
  </w:num>
  <w:num w:numId="21">
    <w:abstractNumId w:val="15"/>
  </w:num>
  <w:num w:numId="22">
    <w:abstractNumId w:val="23"/>
  </w:num>
  <w:num w:numId="23">
    <w:abstractNumId w:val="37"/>
  </w:num>
  <w:num w:numId="24">
    <w:abstractNumId w:val="13"/>
  </w:num>
  <w:num w:numId="25">
    <w:abstractNumId w:val="36"/>
  </w:num>
  <w:num w:numId="26">
    <w:abstractNumId w:val="7"/>
  </w:num>
  <w:num w:numId="27">
    <w:abstractNumId w:val="6"/>
  </w:num>
  <w:num w:numId="28">
    <w:abstractNumId w:val="1"/>
  </w:num>
  <w:num w:numId="29">
    <w:abstractNumId w:val="0"/>
  </w:num>
  <w:num w:numId="30">
    <w:abstractNumId w:val="21"/>
  </w:num>
  <w:num w:numId="31">
    <w:abstractNumId w:val="34"/>
  </w:num>
  <w:num w:numId="32">
    <w:abstractNumId w:val="17"/>
  </w:num>
  <w:num w:numId="33">
    <w:abstractNumId w:val="11"/>
  </w:num>
  <w:num w:numId="34">
    <w:abstractNumId w:val="8"/>
  </w:num>
  <w:num w:numId="35">
    <w:abstractNumId w:val="14"/>
  </w:num>
  <w:num w:numId="36">
    <w:abstractNumId w:val="2"/>
  </w:num>
  <w:num w:numId="37">
    <w:abstractNumId w:val="12"/>
  </w:num>
  <w:num w:numId="38">
    <w:abstractNumId w:val="1"/>
  </w:num>
  <w:num w:numId="39">
    <w:abstractNumId w:val="26"/>
  </w:num>
  <w:num w:numId="40">
    <w:abstractNumId w:val="5"/>
  </w:num>
  <w:num w:numId="41">
    <w:abstractNumId w:val="31"/>
  </w:num>
  <w:num w:numId="42">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raftPresent" w:val="1"/>
  </w:docVars>
  <w:rsids>
    <w:rsidRoot w:val="000D4C42"/>
    <w:rsid w:val="000024ED"/>
    <w:rsid w:val="000050C1"/>
    <w:rsid w:val="00006B81"/>
    <w:rsid w:val="0000789B"/>
    <w:rsid w:val="0001011B"/>
    <w:rsid w:val="0001076F"/>
    <w:rsid w:val="00011429"/>
    <w:rsid w:val="000117C6"/>
    <w:rsid w:val="000117F7"/>
    <w:rsid w:val="00011882"/>
    <w:rsid w:val="00011C5E"/>
    <w:rsid w:val="0001217F"/>
    <w:rsid w:val="00012914"/>
    <w:rsid w:val="00012A62"/>
    <w:rsid w:val="00013102"/>
    <w:rsid w:val="000138C7"/>
    <w:rsid w:val="00013D87"/>
    <w:rsid w:val="000142E1"/>
    <w:rsid w:val="00014BD6"/>
    <w:rsid w:val="00014C45"/>
    <w:rsid w:val="00017435"/>
    <w:rsid w:val="000204AD"/>
    <w:rsid w:val="000211A1"/>
    <w:rsid w:val="00021F10"/>
    <w:rsid w:val="000228AD"/>
    <w:rsid w:val="000229D6"/>
    <w:rsid w:val="00023E5B"/>
    <w:rsid w:val="000241C5"/>
    <w:rsid w:val="000247E7"/>
    <w:rsid w:val="0002764B"/>
    <w:rsid w:val="00032ED4"/>
    <w:rsid w:val="000333AF"/>
    <w:rsid w:val="00033652"/>
    <w:rsid w:val="00041DDE"/>
    <w:rsid w:val="00043344"/>
    <w:rsid w:val="0004580B"/>
    <w:rsid w:val="00045A6C"/>
    <w:rsid w:val="00046E53"/>
    <w:rsid w:val="000479B8"/>
    <w:rsid w:val="00051898"/>
    <w:rsid w:val="00052734"/>
    <w:rsid w:val="000541FD"/>
    <w:rsid w:val="0005516C"/>
    <w:rsid w:val="0005730C"/>
    <w:rsid w:val="0006079B"/>
    <w:rsid w:val="0006154A"/>
    <w:rsid w:val="000625FA"/>
    <w:rsid w:val="00064244"/>
    <w:rsid w:val="00064F79"/>
    <w:rsid w:val="00065A15"/>
    <w:rsid w:val="0006633F"/>
    <w:rsid w:val="0006669B"/>
    <w:rsid w:val="00067C2B"/>
    <w:rsid w:val="00067EDC"/>
    <w:rsid w:val="00071E19"/>
    <w:rsid w:val="00074316"/>
    <w:rsid w:val="0007521D"/>
    <w:rsid w:val="00075DB4"/>
    <w:rsid w:val="00076DF1"/>
    <w:rsid w:val="0007753C"/>
    <w:rsid w:val="000804B1"/>
    <w:rsid w:val="00081750"/>
    <w:rsid w:val="000819DF"/>
    <w:rsid w:val="00082371"/>
    <w:rsid w:val="000828A2"/>
    <w:rsid w:val="0008317B"/>
    <w:rsid w:val="000844E6"/>
    <w:rsid w:val="00084A0E"/>
    <w:rsid w:val="00084E57"/>
    <w:rsid w:val="000869F2"/>
    <w:rsid w:val="00087607"/>
    <w:rsid w:val="00087A37"/>
    <w:rsid w:val="00090A96"/>
    <w:rsid w:val="000913B1"/>
    <w:rsid w:val="00091704"/>
    <w:rsid w:val="00091E5D"/>
    <w:rsid w:val="00093AD1"/>
    <w:rsid w:val="0009446E"/>
    <w:rsid w:val="000947D7"/>
    <w:rsid w:val="00094DB6"/>
    <w:rsid w:val="000953DA"/>
    <w:rsid w:val="00096A72"/>
    <w:rsid w:val="000970DA"/>
    <w:rsid w:val="000977B7"/>
    <w:rsid w:val="000A0B5F"/>
    <w:rsid w:val="000A1289"/>
    <w:rsid w:val="000A3D5B"/>
    <w:rsid w:val="000A4DE4"/>
    <w:rsid w:val="000A5C4F"/>
    <w:rsid w:val="000A615C"/>
    <w:rsid w:val="000A6A4B"/>
    <w:rsid w:val="000A6B0A"/>
    <w:rsid w:val="000A73AB"/>
    <w:rsid w:val="000B04FF"/>
    <w:rsid w:val="000B1EEC"/>
    <w:rsid w:val="000B637B"/>
    <w:rsid w:val="000B64DF"/>
    <w:rsid w:val="000B6E1B"/>
    <w:rsid w:val="000B7414"/>
    <w:rsid w:val="000B7659"/>
    <w:rsid w:val="000B7CB4"/>
    <w:rsid w:val="000C049D"/>
    <w:rsid w:val="000C2E74"/>
    <w:rsid w:val="000C5BE3"/>
    <w:rsid w:val="000C7C39"/>
    <w:rsid w:val="000D0F1D"/>
    <w:rsid w:val="000D2425"/>
    <w:rsid w:val="000D2D45"/>
    <w:rsid w:val="000D2F23"/>
    <w:rsid w:val="000D419B"/>
    <w:rsid w:val="000D4C42"/>
    <w:rsid w:val="000D76CB"/>
    <w:rsid w:val="000D77BF"/>
    <w:rsid w:val="000D7A60"/>
    <w:rsid w:val="000D7D3B"/>
    <w:rsid w:val="000E0835"/>
    <w:rsid w:val="000E0C22"/>
    <w:rsid w:val="000E17E7"/>
    <w:rsid w:val="000E1ABC"/>
    <w:rsid w:val="000E2394"/>
    <w:rsid w:val="000E60FF"/>
    <w:rsid w:val="000E6598"/>
    <w:rsid w:val="000E797E"/>
    <w:rsid w:val="000F0F24"/>
    <w:rsid w:val="000F1D1D"/>
    <w:rsid w:val="000F2AD9"/>
    <w:rsid w:val="000F2EBC"/>
    <w:rsid w:val="000F4799"/>
    <w:rsid w:val="000F5111"/>
    <w:rsid w:val="000F5A9E"/>
    <w:rsid w:val="000F61F4"/>
    <w:rsid w:val="000F6A87"/>
    <w:rsid w:val="000F70D2"/>
    <w:rsid w:val="00100361"/>
    <w:rsid w:val="001015C3"/>
    <w:rsid w:val="001015D3"/>
    <w:rsid w:val="00103687"/>
    <w:rsid w:val="00103D9F"/>
    <w:rsid w:val="00107FC2"/>
    <w:rsid w:val="0011045A"/>
    <w:rsid w:val="0011196E"/>
    <w:rsid w:val="0011572A"/>
    <w:rsid w:val="0011577E"/>
    <w:rsid w:val="00116057"/>
    <w:rsid w:val="001164B8"/>
    <w:rsid w:val="001171D3"/>
    <w:rsid w:val="00123FBF"/>
    <w:rsid w:val="00124C86"/>
    <w:rsid w:val="00125A8C"/>
    <w:rsid w:val="00125B79"/>
    <w:rsid w:val="00125FBE"/>
    <w:rsid w:val="00126F97"/>
    <w:rsid w:val="0012768A"/>
    <w:rsid w:val="00127A45"/>
    <w:rsid w:val="001304B5"/>
    <w:rsid w:val="0013120C"/>
    <w:rsid w:val="00132E97"/>
    <w:rsid w:val="00132F34"/>
    <w:rsid w:val="00133E0B"/>
    <w:rsid w:val="0013438B"/>
    <w:rsid w:val="0013499E"/>
    <w:rsid w:val="001355A7"/>
    <w:rsid w:val="00135B23"/>
    <w:rsid w:val="00135F59"/>
    <w:rsid w:val="00135F8C"/>
    <w:rsid w:val="00136592"/>
    <w:rsid w:val="00137F90"/>
    <w:rsid w:val="00140086"/>
    <w:rsid w:val="001405A4"/>
    <w:rsid w:val="001439C6"/>
    <w:rsid w:val="00143C89"/>
    <w:rsid w:val="001450D7"/>
    <w:rsid w:val="00146BF4"/>
    <w:rsid w:val="001475A9"/>
    <w:rsid w:val="001520C8"/>
    <w:rsid w:val="00154889"/>
    <w:rsid w:val="001550D1"/>
    <w:rsid w:val="001554CF"/>
    <w:rsid w:val="00157F4D"/>
    <w:rsid w:val="0016341D"/>
    <w:rsid w:val="0016355A"/>
    <w:rsid w:val="0016544C"/>
    <w:rsid w:val="0016574A"/>
    <w:rsid w:val="00165ECA"/>
    <w:rsid w:val="0016650E"/>
    <w:rsid w:val="0016695C"/>
    <w:rsid w:val="00167996"/>
    <w:rsid w:val="00172A9C"/>
    <w:rsid w:val="001742B4"/>
    <w:rsid w:val="00174470"/>
    <w:rsid w:val="001745A1"/>
    <w:rsid w:val="0017597B"/>
    <w:rsid w:val="00177E58"/>
    <w:rsid w:val="00180A7F"/>
    <w:rsid w:val="00181164"/>
    <w:rsid w:val="00181450"/>
    <w:rsid w:val="00182F77"/>
    <w:rsid w:val="00183617"/>
    <w:rsid w:val="00183F71"/>
    <w:rsid w:val="00184051"/>
    <w:rsid w:val="00184D17"/>
    <w:rsid w:val="00186D03"/>
    <w:rsid w:val="00190EFB"/>
    <w:rsid w:val="0019119A"/>
    <w:rsid w:val="00191EB8"/>
    <w:rsid w:val="0019293D"/>
    <w:rsid w:val="00192C9B"/>
    <w:rsid w:val="00193C5C"/>
    <w:rsid w:val="00194525"/>
    <w:rsid w:val="00194A5D"/>
    <w:rsid w:val="001951E7"/>
    <w:rsid w:val="00195CE8"/>
    <w:rsid w:val="00196324"/>
    <w:rsid w:val="001966DB"/>
    <w:rsid w:val="00196778"/>
    <w:rsid w:val="00196F22"/>
    <w:rsid w:val="001A0933"/>
    <w:rsid w:val="001A0A35"/>
    <w:rsid w:val="001A1F34"/>
    <w:rsid w:val="001A28C1"/>
    <w:rsid w:val="001A2AFA"/>
    <w:rsid w:val="001A3238"/>
    <w:rsid w:val="001A7B40"/>
    <w:rsid w:val="001B058C"/>
    <w:rsid w:val="001B0BF3"/>
    <w:rsid w:val="001B1644"/>
    <w:rsid w:val="001B2D5E"/>
    <w:rsid w:val="001B3126"/>
    <w:rsid w:val="001B3E8F"/>
    <w:rsid w:val="001B4180"/>
    <w:rsid w:val="001C1708"/>
    <w:rsid w:val="001C1F91"/>
    <w:rsid w:val="001C33CC"/>
    <w:rsid w:val="001C3CF9"/>
    <w:rsid w:val="001C463C"/>
    <w:rsid w:val="001C57D5"/>
    <w:rsid w:val="001C6202"/>
    <w:rsid w:val="001D0A2A"/>
    <w:rsid w:val="001D160B"/>
    <w:rsid w:val="001D40DE"/>
    <w:rsid w:val="001D4667"/>
    <w:rsid w:val="001D6DAF"/>
    <w:rsid w:val="001E0E94"/>
    <w:rsid w:val="001E134A"/>
    <w:rsid w:val="001E34D8"/>
    <w:rsid w:val="001E34EC"/>
    <w:rsid w:val="001E3837"/>
    <w:rsid w:val="001E7FCD"/>
    <w:rsid w:val="001F26B6"/>
    <w:rsid w:val="001F766F"/>
    <w:rsid w:val="0020094D"/>
    <w:rsid w:val="002013B5"/>
    <w:rsid w:val="0020374A"/>
    <w:rsid w:val="002042E2"/>
    <w:rsid w:val="00205F39"/>
    <w:rsid w:val="00210BF9"/>
    <w:rsid w:val="0021106E"/>
    <w:rsid w:val="002112F5"/>
    <w:rsid w:val="002123F8"/>
    <w:rsid w:val="002134A7"/>
    <w:rsid w:val="00213A89"/>
    <w:rsid w:val="00213B9D"/>
    <w:rsid w:val="00213D8D"/>
    <w:rsid w:val="00214A6C"/>
    <w:rsid w:val="002166E9"/>
    <w:rsid w:val="00216FE5"/>
    <w:rsid w:val="002174AA"/>
    <w:rsid w:val="00217F4E"/>
    <w:rsid w:val="00222DC8"/>
    <w:rsid w:val="0022377A"/>
    <w:rsid w:val="002243DE"/>
    <w:rsid w:val="0023042A"/>
    <w:rsid w:val="002304F6"/>
    <w:rsid w:val="00230A5A"/>
    <w:rsid w:val="00231291"/>
    <w:rsid w:val="002317DD"/>
    <w:rsid w:val="002320C4"/>
    <w:rsid w:val="00234ADB"/>
    <w:rsid w:val="00234B6A"/>
    <w:rsid w:val="00235423"/>
    <w:rsid w:val="00235662"/>
    <w:rsid w:val="00236728"/>
    <w:rsid w:val="00237A8C"/>
    <w:rsid w:val="00237B42"/>
    <w:rsid w:val="0024112B"/>
    <w:rsid w:val="00243A3A"/>
    <w:rsid w:val="00244DFF"/>
    <w:rsid w:val="00246CB1"/>
    <w:rsid w:val="00251250"/>
    <w:rsid w:val="002526F8"/>
    <w:rsid w:val="0025273E"/>
    <w:rsid w:val="00252A60"/>
    <w:rsid w:val="00254727"/>
    <w:rsid w:val="00255B7D"/>
    <w:rsid w:val="00255C4D"/>
    <w:rsid w:val="002602E6"/>
    <w:rsid w:val="00264743"/>
    <w:rsid w:val="002659DB"/>
    <w:rsid w:val="00267212"/>
    <w:rsid w:val="00267784"/>
    <w:rsid w:val="002702CE"/>
    <w:rsid w:val="00270F32"/>
    <w:rsid w:val="00271210"/>
    <w:rsid w:val="0027137E"/>
    <w:rsid w:val="00272D99"/>
    <w:rsid w:val="00273AE0"/>
    <w:rsid w:val="00276092"/>
    <w:rsid w:val="00276987"/>
    <w:rsid w:val="00276D6B"/>
    <w:rsid w:val="0028203F"/>
    <w:rsid w:val="002822DF"/>
    <w:rsid w:val="00285B74"/>
    <w:rsid w:val="00290786"/>
    <w:rsid w:val="00291272"/>
    <w:rsid w:val="00291AE5"/>
    <w:rsid w:val="00293644"/>
    <w:rsid w:val="002938F4"/>
    <w:rsid w:val="00293C33"/>
    <w:rsid w:val="00294CCF"/>
    <w:rsid w:val="0029583A"/>
    <w:rsid w:val="00296817"/>
    <w:rsid w:val="00297D03"/>
    <w:rsid w:val="002A2381"/>
    <w:rsid w:val="002A2503"/>
    <w:rsid w:val="002A3025"/>
    <w:rsid w:val="002A3B5F"/>
    <w:rsid w:val="002A5EBE"/>
    <w:rsid w:val="002A6051"/>
    <w:rsid w:val="002A6A17"/>
    <w:rsid w:val="002A7930"/>
    <w:rsid w:val="002B19B9"/>
    <w:rsid w:val="002B1CF6"/>
    <w:rsid w:val="002B1E42"/>
    <w:rsid w:val="002B246D"/>
    <w:rsid w:val="002B563A"/>
    <w:rsid w:val="002B5681"/>
    <w:rsid w:val="002B57B7"/>
    <w:rsid w:val="002B647E"/>
    <w:rsid w:val="002B6ACF"/>
    <w:rsid w:val="002B734D"/>
    <w:rsid w:val="002C0290"/>
    <w:rsid w:val="002C09CC"/>
    <w:rsid w:val="002C5C2E"/>
    <w:rsid w:val="002D065F"/>
    <w:rsid w:val="002D0901"/>
    <w:rsid w:val="002D2310"/>
    <w:rsid w:val="002D26A2"/>
    <w:rsid w:val="002D39D0"/>
    <w:rsid w:val="002D4AE1"/>
    <w:rsid w:val="002D6302"/>
    <w:rsid w:val="002D668D"/>
    <w:rsid w:val="002D6DAB"/>
    <w:rsid w:val="002E15F6"/>
    <w:rsid w:val="002E1956"/>
    <w:rsid w:val="002E1EE6"/>
    <w:rsid w:val="002E2259"/>
    <w:rsid w:val="002E2CBB"/>
    <w:rsid w:val="002E3E39"/>
    <w:rsid w:val="002E577B"/>
    <w:rsid w:val="002E5EDB"/>
    <w:rsid w:val="002E687D"/>
    <w:rsid w:val="002F0565"/>
    <w:rsid w:val="002F09BB"/>
    <w:rsid w:val="002F1A68"/>
    <w:rsid w:val="002F2E7D"/>
    <w:rsid w:val="002F4F3D"/>
    <w:rsid w:val="002F62F0"/>
    <w:rsid w:val="002F7F48"/>
    <w:rsid w:val="002F7FA9"/>
    <w:rsid w:val="00302104"/>
    <w:rsid w:val="00302A4B"/>
    <w:rsid w:val="0030352B"/>
    <w:rsid w:val="00303783"/>
    <w:rsid w:val="0030424A"/>
    <w:rsid w:val="00305799"/>
    <w:rsid w:val="00310D05"/>
    <w:rsid w:val="00311F0F"/>
    <w:rsid w:val="0031393B"/>
    <w:rsid w:val="00313C58"/>
    <w:rsid w:val="003143D4"/>
    <w:rsid w:val="00317C34"/>
    <w:rsid w:val="00320A05"/>
    <w:rsid w:val="003228DC"/>
    <w:rsid w:val="003239EA"/>
    <w:rsid w:val="00325D62"/>
    <w:rsid w:val="003262BF"/>
    <w:rsid w:val="00326F9F"/>
    <w:rsid w:val="00331C0E"/>
    <w:rsid w:val="003333B1"/>
    <w:rsid w:val="00333836"/>
    <w:rsid w:val="003339CE"/>
    <w:rsid w:val="00334BD8"/>
    <w:rsid w:val="00334F0A"/>
    <w:rsid w:val="00335547"/>
    <w:rsid w:val="0033705C"/>
    <w:rsid w:val="003404E4"/>
    <w:rsid w:val="003446CA"/>
    <w:rsid w:val="00345014"/>
    <w:rsid w:val="00345F0D"/>
    <w:rsid w:val="003471A8"/>
    <w:rsid w:val="00347E62"/>
    <w:rsid w:val="0035019B"/>
    <w:rsid w:val="00350FD8"/>
    <w:rsid w:val="00351398"/>
    <w:rsid w:val="00351FD4"/>
    <w:rsid w:val="00352A16"/>
    <w:rsid w:val="003564D4"/>
    <w:rsid w:val="003566D2"/>
    <w:rsid w:val="00356E91"/>
    <w:rsid w:val="00356FD5"/>
    <w:rsid w:val="00357338"/>
    <w:rsid w:val="00362766"/>
    <w:rsid w:val="00362CAE"/>
    <w:rsid w:val="00363A5B"/>
    <w:rsid w:val="00363BD4"/>
    <w:rsid w:val="00363F90"/>
    <w:rsid w:val="00364623"/>
    <w:rsid w:val="00364D78"/>
    <w:rsid w:val="00365E25"/>
    <w:rsid w:val="0036696C"/>
    <w:rsid w:val="00370C06"/>
    <w:rsid w:val="003712A4"/>
    <w:rsid w:val="00372A28"/>
    <w:rsid w:val="00374000"/>
    <w:rsid w:val="0037651E"/>
    <w:rsid w:val="003768A3"/>
    <w:rsid w:val="003807A5"/>
    <w:rsid w:val="00380EFA"/>
    <w:rsid w:val="0038163D"/>
    <w:rsid w:val="003821A9"/>
    <w:rsid w:val="003832F5"/>
    <w:rsid w:val="00383C35"/>
    <w:rsid w:val="00384BD2"/>
    <w:rsid w:val="00385963"/>
    <w:rsid w:val="00385B29"/>
    <w:rsid w:val="0038644B"/>
    <w:rsid w:val="00391E0A"/>
    <w:rsid w:val="00393C4A"/>
    <w:rsid w:val="003946FB"/>
    <w:rsid w:val="003955DB"/>
    <w:rsid w:val="003959BF"/>
    <w:rsid w:val="003961E5"/>
    <w:rsid w:val="00397281"/>
    <w:rsid w:val="003A1D6E"/>
    <w:rsid w:val="003A3596"/>
    <w:rsid w:val="003A4CF0"/>
    <w:rsid w:val="003A5BA5"/>
    <w:rsid w:val="003A6B69"/>
    <w:rsid w:val="003A6C38"/>
    <w:rsid w:val="003A7D57"/>
    <w:rsid w:val="003B0D9C"/>
    <w:rsid w:val="003B16D0"/>
    <w:rsid w:val="003B2158"/>
    <w:rsid w:val="003B29E2"/>
    <w:rsid w:val="003B359B"/>
    <w:rsid w:val="003B5F58"/>
    <w:rsid w:val="003C065D"/>
    <w:rsid w:val="003C0B1D"/>
    <w:rsid w:val="003C0CC7"/>
    <w:rsid w:val="003C16C8"/>
    <w:rsid w:val="003C1977"/>
    <w:rsid w:val="003C2681"/>
    <w:rsid w:val="003C2F97"/>
    <w:rsid w:val="003C5398"/>
    <w:rsid w:val="003C5869"/>
    <w:rsid w:val="003C6075"/>
    <w:rsid w:val="003D01B0"/>
    <w:rsid w:val="003D0F17"/>
    <w:rsid w:val="003D2785"/>
    <w:rsid w:val="003D4926"/>
    <w:rsid w:val="003D789E"/>
    <w:rsid w:val="003E0466"/>
    <w:rsid w:val="003E1BE1"/>
    <w:rsid w:val="003E20B5"/>
    <w:rsid w:val="003E423A"/>
    <w:rsid w:val="003E4259"/>
    <w:rsid w:val="003E4522"/>
    <w:rsid w:val="003E5252"/>
    <w:rsid w:val="003E7028"/>
    <w:rsid w:val="003E722E"/>
    <w:rsid w:val="003F0014"/>
    <w:rsid w:val="003F0029"/>
    <w:rsid w:val="003F1322"/>
    <w:rsid w:val="003F1421"/>
    <w:rsid w:val="003F1A3F"/>
    <w:rsid w:val="003F22CF"/>
    <w:rsid w:val="003F250B"/>
    <w:rsid w:val="003F2916"/>
    <w:rsid w:val="003F2DCB"/>
    <w:rsid w:val="003F34C5"/>
    <w:rsid w:val="003F4143"/>
    <w:rsid w:val="003F54B6"/>
    <w:rsid w:val="003F5DCC"/>
    <w:rsid w:val="003F60C6"/>
    <w:rsid w:val="0040093F"/>
    <w:rsid w:val="004009D6"/>
    <w:rsid w:val="004014D4"/>
    <w:rsid w:val="004021B3"/>
    <w:rsid w:val="004031C9"/>
    <w:rsid w:val="00404B95"/>
    <w:rsid w:val="00405EB5"/>
    <w:rsid w:val="004071D3"/>
    <w:rsid w:val="004101F7"/>
    <w:rsid w:val="00410DC9"/>
    <w:rsid w:val="00412DD0"/>
    <w:rsid w:val="00414443"/>
    <w:rsid w:val="00414F1E"/>
    <w:rsid w:val="0041551B"/>
    <w:rsid w:val="00417401"/>
    <w:rsid w:val="0042066D"/>
    <w:rsid w:val="00420D3F"/>
    <w:rsid w:val="004212A0"/>
    <w:rsid w:val="004222C2"/>
    <w:rsid w:val="00422E4D"/>
    <w:rsid w:val="004234FA"/>
    <w:rsid w:val="00423571"/>
    <w:rsid w:val="00423F26"/>
    <w:rsid w:val="00424CFC"/>
    <w:rsid w:val="00426BCE"/>
    <w:rsid w:val="004270C1"/>
    <w:rsid w:val="0043027C"/>
    <w:rsid w:val="00431501"/>
    <w:rsid w:val="004333EC"/>
    <w:rsid w:val="00433400"/>
    <w:rsid w:val="00433DDE"/>
    <w:rsid w:val="00435757"/>
    <w:rsid w:val="00435992"/>
    <w:rsid w:val="004369C3"/>
    <w:rsid w:val="00436D64"/>
    <w:rsid w:val="004406D5"/>
    <w:rsid w:val="004425A3"/>
    <w:rsid w:val="004430E0"/>
    <w:rsid w:val="004436D9"/>
    <w:rsid w:val="00444C5F"/>
    <w:rsid w:val="00444FCA"/>
    <w:rsid w:val="004462B3"/>
    <w:rsid w:val="0044770B"/>
    <w:rsid w:val="00450DFA"/>
    <w:rsid w:val="004512F7"/>
    <w:rsid w:val="00452F1B"/>
    <w:rsid w:val="004533B0"/>
    <w:rsid w:val="00453E55"/>
    <w:rsid w:val="00454FCE"/>
    <w:rsid w:val="00455BE0"/>
    <w:rsid w:val="004564B5"/>
    <w:rsid w:val="00464998"/>
    <w:rsid w:val="00465628"/>
    <w:rsid w:val="00466440"/>
    <w:rsid w:val="004670C7"/>
    <w:rsid w:val="00467AE2"/>
    <w:rsid w:val="0047062F"/>
    <w:rsid w:val="0047067E"/>
    <w:rsid w:val="00471D1E"/>
    <w:rsid w:val="0047200D"/>
    <w:rsid w:val="00473BED"/>
    <w:rsid w:val="00474716"/>
    <w:rsid w:val="00477D97"/>
    <w:rsid w:val="0048110A"/>
    <w:rsid w:val="00481B82"/>
    <w:rsid w:val="004830BE"/>
    <w:rsid w:val="00483678"/>
    <w:rsid w:val="00484336"/>
    <w:rsid w:val="00486EF5"/>
    <w:rsid w:val="004874FD"/>
    <w:rsid w:val="00490D57"/>
    <w:rsid w:val="00490DD2"/>
    <w:rsid w:val="0049178F"/>
    <w:rsid w:val="0049457C"/>
    <w:rsid w:val="00495EEB"/>
    <w:rsid w:val="004964BC"/>
    <w:rsid w:val="004965BB"/>
    <w:rsid w:val="004A01E7"/>
    <w:rsid w:val="004A069F"/>
    <w:rsid w:val="004A2E40"/>
    <w:rsid w:val="004A32FE"/>
    <w:rsid w:val="004A3F12"/>
    <w:rsid w:val="004A4FE7"/>
    <w:rsid w:val="004A61BC"/>
    <w:rsid w:val="004A7191"/>
    <w:rsid w:val="004B0CE1"/>
    <w:rsid w:val="004B16CA"/>
    <w:rsid w:val="004B26EB"/>
    <w:rsid w:val="004B30F1"/>
    <w:rsid w:val="004B35CC"/>
    <w:rsid w:val="004B3883"/>
    <w:rsid w:val="004C06E9"/>
    <w:rsid w:val="004C28D3"/>
    <w:rsid w:val="004C52F1"/>
    <w:rsid w:val="004C6C25"/>
    <w:rsid w:val="004D045F"/>
    <w:rsid w:val="004D27D3"/>
    <w:rsid w:val="004D3B5C"/>
    <w:rsid w:val="004E15E2"/>
    <w:rsid w:val="004E16CF"/>
    <w:rsid w:val="004E176B"/>
    <w:rsid w:val="004E2EB0"/>
    <w:rsid w:val="004E3C47"/>
    <w:rsid w:val="004E4290"/>
    <w:rsid w:val="004E6185"/>
    <w:rsid w:val="004E7F0C"/>
    <w:rsid w:val="004F0458"/>
    <w:rsid w:val="004F0BB3"/>
    <w:rsid w:val="004F1416"/>
    <w:rsid w:val="004F1CC7"/>
    <w:rsid w:val="004F20C6"/>
    <w:rsid w:val="004F2E98"/>
    <w:rsid w:val="004F3353"/>
    <w:rsid w:val="004F360F"/>
    <w:rsid w:val="004F39B0"/>
    <w:rsid w:val="004F40EC"/>
    <w:rsid w:val="004F42F8"/>
    <w:rsid w:val="004F4DB3"/>
    <w:rsid w:val="004F4F34"/>
    <w:rsid w:val="004F5CD2"/>
    <w:rsid w:val="004F5D71"/>
    <w:rsid w:val="004F762E"/>
    <w:rsid w:val="00502624"/>
    <w:rsid w:val="005033B8"/>
    <w:rsid w:val="0051227C"/>
    <w:rsid w:val="00513DCC"/>
    <w:rsid w:val="0051528E"/>
    <w:rsid w:val="0051581D"/>
    <w:rsid w:val="005172C1"/>
    <w:rsid w:val="00520BF3"/>
    <w:rsid w:val="00521C7A"/>
    <w:rsid w:val="0052214D"/>
    <w:rsid w:val="00522850"/>
    <w:rsid w:val="00524B71"/>
    <w:rsid w:val="0052604B"/>
    <w:rsid w:val="00526563"/>
    <w:rsid w:val="00532366"/>
    <w:rsid w:val="00532647"/>
    <w:rsid w:val="00532658"/>
    <w:rsid w:val="00532B18"/>
    <w:rsid w:val="00535C6D"/>
    <w:rsid w:val="005378D7"/>
    <w:rsid w:val="00540B2F"/>
    <w:rsid w:val="00541DE5"/>
    <w:rsid w:val="00541F5D"/>
    <w:rsid w:val="00542014"/>
    <w:rsid w:val="005422B9"/>
    <w:rsid w:val="00542AC6"/>
    <w:rsid w:val="005466C2"/>
    <w:rsid w:val="00546DEA"/>
    <w:rsid w:val="00552335"/>
    <w:rsid w:val="005524B3"/>
    <w:rsid w:val="005526B7"/>
    <w:rsid w:val="005559F8"/>
    <w:rsid w:val="00556B8E"/>
    <w:rsid w:val="005575E0"/>
    <w:rsid w:val="00560F6A"/>
    <w:rsid w:val="005620B4"/>
    <w:rsid w:val="005627AB"/>
    <w:rsid w:val="0056345B"/>
    <w:rsid w:val="0056475F"/>
    <w:rsid w:val="00566585"/>
    <w:rsid w:val="0056748A"/>
    <w:rsid w:val="00570F59"/>
    <w:rsid w:val="00572F7B"/>
    <w:rsid w:val="00575052"/>
    <w:rsid w:val="0057519D"/>
    <w:rsid w:val="00577CD2"/>
    <w:rsid w:val="00577DBC"/>
    <w:rsid w:val="00580C20"/>
    <w:rsid w:val="00581FFA"/>
    <w:rsid w:val="00583029"/>
    <w:rsid w:val="005834B0"/>
    <w:rsid w:val="00583782"/>
    <w:rsid w:val="00586312"/>
    <w:rsid w:val="00586822"/>
    <w:rsid w:val="00586AFE"/>
    <w:rsid w:val="00591DD8"/>
    <w:rsid w:val="00593AF4"/>
    <w:rsid w:val="0059422D"/>
    <w:rsid w:val="00595F1D"/>
    <w:rsid w:val="0059616C"/>
    <w:rsid w:val="00597891"/>
    <w:rsid w:val="005A25BA"/>
    <w:rsid w:val="005A3594"/>
    <w:rsid w:val="005A4C21"/>
    <w:rsid w:val="005A5D6B"/>
    <w:rsid w:val="005A796A"/>
    <w:rsid w:val="005A7D4F"/>
    <w:rsid w:val="005A7DF8"/>
    <w:rsid w:val="005B08BB"/>
    <w:rsid w:val="005B191B"/>
    <w:rsid w:val="005B256E"/>
    <w:rsid w:val="005B3F80"/>
    <w:rsid w:val="005B49F8"/>
    <w:rsid w:val="005B609B"/>
    <w:rsid w:val="005B67F2"/>
    <w:rsid w:val="005B7535"/>
    <w:rsid w:val="005C0557"/>
    <w:rsid w:val="005C07CD"/>
    <w:rsid w:val="005C08BD"/>
    <w:rsid w:val="005C0DBA"/>
    <w:rsid w:val="005C4A20"/>
    <w:rsid w:val="005C6407"/>
    <w:rsid w:val="005C72B1"/>
    <w:rsid w:val="005C7498"/>
    <w:rsid w:val="005C7F6B"/>
    <w:rsid w:val="005D1B21"/>
    <w:rsid w:val="005D21C6"/>
    <w:rsid w:val="005D2D46"/>
    <w:rsid w:val="005D369D"/>
    <w:rsid w:val="005D58FD"/>
    <w:rsid w:val="005D7CFC"/>
    <w:rsid w:val="005E0E1E"/>
    <w:rsid w:val="005E1F60"/>
    <w:rsid w:val="005E4AEB"/>
    <w:rsid w:val="005E4E6C"/>
    <w:rsid w:val="005E6518"/>
    <w:rsid w:val="005E7417"/>
    <w:rsid w:val="005E77CC"/>
    <w:rsid w:val="005F0B9C"/>
    <w:rsid w:val="005F1579"/>
    <w:rsid w:val="005F4538"/>
    <w:rsid w:val="005F55FB"/>
    <w:rsid w:val="00601F6D"/>
    <w:rsid w:val="00603222"/>
    <w:rsid w:val="00603924"/>
    <w:rsid w:val="00604EE8"/>
    <w:rsid w:val="00605500"/>
    <w:rsid w:val="006078B4"/>
    <w:rsid w:val="00610005"/>
    <w:rsid w:val="0061114D"/>
    <w:rsid w:val="006120B3"/>
    <w:rsid w:val="006130E4"/>
    <w:rsid w:val="006136C8"/>
    <w:rsid w:val="00613A68"/>
    <w:rsid w:val="006156A8"/>
    <w:rsid w:val="00617B80"/>
    <w:rsid w:val="00620748"/>
    <w:rsid w:val="0062179B"/>
    <w:rsid w:val="00622EBD"/>
    <w:rsid w:val="00623436"/>
    <w:rsid w:val="006234C5"/>
    <w:rsid w:val="00623ABD"/>
    <w:rsid w:val="00624198"/>
    <w:rsid w:val="006242CD"/>
    <w:rsid w:val="006259DD"/>
    <w:rsid w:val="00625D37"/>
    <w:rsid w:val="00626950"/>
    <w:rsid w:val="00626D87"/>
    <w:rsid w:val="00627AD3"/>
    <w:rsid w:val="006300B1"/>
    <w:rsid w:val="0063040A"/>
    <w:rsid w:val="006307F4"/>
    <w:rsid w:val="00630D8B"/>
    <w:rsid w:val="00633590"/>
    <w:rsid w:val="00634CBF"/>
    <w:rsid w:val="00634EA0"/>
    <w:rsid w:val="00634EA9"/>
    <w:rsid w:val="0063610B"/>
    <w:rsid w:val="00636DB3"/>
    <w:rsid w:val="00637E0B"/>
    <w:rsid w:val="00641986"/>
    <w:rsid w:val="006425CA"/>
    <w:rsid w:val="006434CD"/>
    <w:rsid w:val="006436AD"/>
    <w:rsid w:val="00643B4C"/>
    <w:rsid w:val="00644304"/>
    <w:rsid w:val="00644340"/>
    <w:rsid w:val="006448DA"/>
    <w:rsid w:val="00645476"/>
    <w:rsid w:val="00645B13"/>
    <w:rsid w:val="0064725C"/>
    <w:rsid w:val="00647FCC"/>
    <w:rsid w:val="00651CCA"/>
    <w:rsid w:val="00651FD8"/>
    <w:rsid w:val="00652C1F"/>
    <w:rsid w:val="0065409F"/>
    <w:rsid w:val="00654E97"/>
    <w:rsid w:val="00656707"/>
    <w:rsid w:val="00657DA6"/>
    <w:rsid w:val="006607ED"/>
    <w:rsid w:val="00662EC3"/>
    <w:rsid w:val="00664A23"/>
    <w:rsid w:val="00665463"/>
    <w:rsid w:val="00666B5F"/>
    <w:rsid w:val="00667DD4"/>
    <w:rsid w:val="00670EE9"/>
    <w:rsid w:val="0067144C"/>
    <w:rsid w:val="00671564"/>
    <w:rsid w:val="0067348C"/>
    <w:rsid w:val="006752A9"/>
    <w:rsid w:val="00680748"/>
    <w:rsid w:val="006832A1"/>
    <w:rsid w:val="00684450"/>
    <w:rsid w:val="0068485C"/>
    <w:rsid w:val="00684C77"/>
    <w:rsid w:val="00687390"/>
    <w:rsid w:val="00687BDA"/>
    <w:rsid w:val="00690C93"/>
    <w:rsid w:val="006910E6"/>
    <w:rsid w:val="006917DD"/>
    <w:rsid w:val="00694273"/>
    <w:rsid w:val="0069584E"/>
    <w:rsid w:val="00696388"/>
    <w:rsid w:val="00696562"/>
    <w:rsid w:val="00696831"/>
    <w:rsid w:val="00696A80"/>
    <w:rsid w:val="00696DA3"/>
    <w:rsid w:val="006A1E4F"/>
    <w:rsid w:val="006A2D88"/>
    <w:rsid w:val="006A3006"/>
    <w:rsid w:val="006A4276"/>
    <w:rsid w:val="006A46FB"/>
    <w:rsid w:val="006A4F18"/>
    <w:rsid w:val="006A5FA9"/>
    <w:rsid w:val="006A7960"/>
    <w:rsid w:val="006B16B4"/>
    <w:rsid w:val="006B2B23"/>
    <w:rsid w:val="006B4945"/>
    <w:rsid w:val="006B50E3"/>
    <w:rsid w:val="006B74F1"/>
    <w:rsid w:val="006C0EBE"/>
    <w:rsid w:val="006C3DF3"/>
    <w:rsid w:val="006C4648"/>
    <w:rsid w:val="006C5F50"/>
    <w:rsid w:val="006C6705"/>
    <w:rsid w:val="006C79F7"/>
    <w:rsid w:val="006C7A61"/>
    <w:rsid w:val="006D1284"/>
    <w:rsid w:val="006D17C1"/>
    <w:rsid w:val="006D32E7"/>
    <w:rsid w:val="006D4C39"/>
    <w:rsid w:val="006D5296"/>
    <w:rsid w:val="006D609D"/>
    <w:rsid w:val="006E0841"/>
    <w:rsid w:val="006E475E"/>
    <w:rsid w:val="006E52F8"/>
    <w:rsid w:val="006E6407"/>
    <w:rsid w:val="006E6C08"/>
    <w:rsid w:val="006E7797"/>
    <w:rsid w:val="006E7DE4"/>
    <w:rsid w:val="006E7F65"/>
    <w:rsid w:val="006F0441"/>
    <w:rsid w:val="006F07AE"/>
    <w:rsid w:val="006F109C"/>
    <w:rsid w:val="006F1B87"/>
    <w:rsid w:val="006F4840"/>
    <w:rsid w:val="006F756D"/>
    <w:rsid w:val="00700314"/>
    <w:rsid w:val="00700824"/>
    <w:rsid w:val="007013FA"/>
    <w:rsid w:val="0070211A"/>
    <w:rsid w:val="007023C6"/>
    <w:rsid w:val="007027D3"/>
    <w:rsid w:val="00703B07"/>
    <w:rsid w:val="00706170"/>
    <w:rsid w:val="00706B6D"/>
    <w:rsid w:val="00706D1E"/>
    <w:rsid w:val="00707B03"/>
    <w:rsid w:val="0071001E"/>
    <w:rsid w:val="0071078D"/>
    <w:rsid w:val="00710FC9"/>
    <w:rsid w:val="00711496"/>
    <w:rsid w:val="00711763"/>
    <w:rsid w:val="0071185B"/>
    <w:rsid w:val="00711DAC"/>
    <w:rsid w:val="007130B2"/>
    <w:rsid w:val="00716577"/>
    <w:rsid w:val="00717529"/>
    <w:rsid w:val="007177B8"/>
    <w:rsid w:val="0072017A"/>
    <w:rsid w:val="00722530"/>
    <w:rsid w:val="00724C26"/>
    <w:rsid w:val="00725FB5"/>
    <w:rsid w:val="0073300D"/>
    <w:rsid w:val="00733A99"/>
    <w:rsid w:val="007353A7"/>
    <w:rsid w:val="007357BD"/>
    <w:rsid w:val="007359A7"/>
    <w:rsid w:val="00736540"/>
    <w:rsid w:val="0074019D"/>
    <w:rsid w:val="00740CF7"/>
    <w:rsid w:val="007425AD"/>
    <w:rsid w:val="0074659E"/>
    <w:rsid w:val="007469F6"/>
    <w:rsid w:val="00746ACD"/>
    <w:rsid w:val="0075144C"/>
    <w:rsid w:val="00751C12"/>
    <w:rsid w:val="007522DB"/>
    <w:rsid w:val="00752BE7"/>
    <w:rsid w:val="00752D2B"/>
    <w:rsid w:val="007551F3"/>
    <w:rsid w:val="00755C9F"/>
    <w:rsid w:val="00760DE5"/>
    <w:rsid w:val="00761867"/>
    <w:rsid w:val="00761A3E"/>
    <w:rsid w:val="0076201A"/>
    <w:rsid w:val="00762AF3"/>
    <w:rsid w:val="00763931"/>
    <w:rsid w:val="00763A08"/>
    <w:rsid w:val="00763F22"/>
    <w:rsid w:val="007651F3"/>
    <w:rsid w:val="0076574C"/>
    <w:rsid w:val="00765AC5"/>
    <w:rsid w:val="00765D24"/>
    <w:rsid w:val="00765F79"/>
    <w:rsid w:val="00767DA1"/>
    <w:rsid w:val="00770BFC"/>
    <w:rsid w:val="00771B6E"/>
    <w:rsid w:val="00771DBE"/>
    <w:rsid w:val="007748B5"/>
    <w:rsid w:val="00777037"/>
    <w:rsid w:val="00780026"/>
    <w:rsid w:val="00780DD0"/>
    <w:rsid w:val="007832C8"/>
    <w:rsid w:val="007839F8"/>
    <w:rsid w:val="00784310"/>
    <w:rsid w:val="00785654"/>
    <w:rsid w:val="00785F38"/>
    <w:rsid w:val="00787708"/>
    <w:rsid w:val="00790CE5"/>
    <w:rsid w:val="00791040"/>
    <w:rsid w:val="007918E3"/>
    <w:rsid w:val="00791E18"/>
    <w:rsid w:val="00792B9A"/>
    <w:rsid w:val="007936B5"/>
    <w:rsid w:val="0079392A"/>
    <w:rsid w:val="007939D4"/>
    <w:rsid w:val="00794953"/>
    <w:rsid w:val="007953B7"/>
    <w:rsid w:val="0079583D"/>
    <w:rsid w:val="00795EF2"/>
    <w:rsid w:val="007967E9"/>
    <w:rsid w:val="0079787A"/>
    <w:rsid w:val="00797F3B"/>
    <w:rsid w:val="007A0A92"/>
    <w:rsid w:val="007A0E78"/>
    <w:rsid w:val="007A19C3"/>
    <w:rsid w:val="007A2980"/>
    <w:rsid w:val="007A4EDA"/>
    <w:rsid w:val="007A4FAE"/>
    <w:rsid w:val="007A65F0"/>
    <w:rsid w:val="007A7918"/>
    <w:rsid w:val="007B25E8"/>
    <w:rsid w:val="007B3AC4"/>
    <w:rsid w:val="007B3C6E"/>
    <w:rsid w:val="007B6544"/>
    <w:rsid w:val="007B76C1"/>
    <w:rsid w:val="007C08E8"/>
    <w:rsid w:val="007C0F0A"/>
    <w:rsid w:val="007C0F6B"/>
    <w:rsid w:val="007C19ED"/>
    <w:rsid w:val="007C1FC1"/>
    <w:rsid w:val="007C40C6"/>
    <w:rsid w:val="007C455E"/>
    <w:rsid w:val="007C4569"/>
    <w:rsid w:val="007C5748"/>
    <w:rsid w:val="007D1D78"/>
    <w:rsid w:val="007D28F9"/>
    <w:rsid w:val="007D33B5"/>
    <w:rsid w:val="007D604E"/>
    <w:rsid w:val="007D681D"/>
    <w:rsid w:val="007D792F"/>
    <w:rsid w:val="007E2201"/>
    <w:rsid w:val="007E2548"/>
    <w:rsid w:val="007E2956"/>
    <w:rsid w:val="007E31CA"/>
    <w:rsid w:val="007E333D"/>
    <w:rsid w:val="007E36CE"/>
    <w:rsid w:val="007E4356"/>
    <w:rsid w:val="007E603F"/>
    <w:rsid w:val="007E619D"/>
    <w:rsid w:val="007E61E7"/>
    <w:rsid w:val="007E6A61"/>
    <w:rsid w:val="007E73C0"/>
    <w:rsid w:val="007F0DD3"/>
    <w:rsid w:val="007F2C5C"/>
    <w:rsid w:val="007F35B9"/>
    <w:rsid w:val="007F43B0"/>
    <w:rsid w:val="007F7161"/>
    <w:rsid w:val="00802608"/>
    <w:rsid w:val="00802F2D"/>
    <w:rsid w:val="008036A2"/>
    <w:rsid w:val="00803B60"/>
    <w:rsid w:val="0080444A"/>
    <w:rsid w:val="00804BD9"/>
    <w:rsid w:val="00804EDB"/>
    <w:rsid w:val="00804FFE"/>
    <w:rsid w:val="00807E35"/>
    <w:rsid w:val="008109F4"/>
    <w:rsid w:val="00810EFC"/>
    <w:rsid w:val="00811C8A"/>
    <w:rsid w:val="0081347E"/>
    <w:rsid w:val="008150B3"/>
    <w:rsid w:val="0081774E"/>
    <w:rsid w:val="00817F5F"/>
    <w:rsid w:val="00821A50"/>
    <w:rsid w:val="00823F9C"/>
    <w:rsid w:val="00824CC5"/>
    <w:rsid w:val="008260B7"/>
    <w:rsid w:val="00826335"/>
    <w:rsid w:val="00826C00"/>
    <w:rsid w:val="00826E6C"/>
    <w:rsid w:val="008272C1"/>
    <w:rsid w:val="0082744D"/>
    <w:rsid w:val="00827C76"/>
    <w:rsid w:val="00827EC0"/>
    <w:rsid w:val="008304CB"/>
    <w:rsid w:val="00831856"/>
    <w:rsid w:val="00831A3F"/>
    <w:rsid w:val="00832FBD"/>
    <w:rsid w:val="00833776"/>
    <w:rsid w:val="008341A6"/>
    <w:rsid w:val="00842E67"/>
    <w:rsid w:val="0084420A"/>
    <w:rsid w:val="00845F15"/>
    <w:rsid w:val="008462DB"/>
    <w:rsid w:val="0084711C"/>
    <w:rsid w:val="008507A8"/>
    <w:rsid w:val="008511CE"/>
    <w:rsid w:val="00854A2F"/>
    <w:rsid w:val="00855283"/>
    <w:rsid w:val="00856BA5"/>
    <w:rsid w:val="00857E06"/>
    <w:rsid w:val="00857FBB"/>
    <w:rsid w:val="00860A93"/>
    <w:rsid w:val="00860ED8"/>
    <w:rsid w:val="0086142A"/>
    <w:rsid w:val="008622BA"/>
    <w:rsid w:val="008627C1"/>
    <w:rsid w:val="00864253"/>
    <w:rsid w:val="00864775"/>
    <w:rsid w:val="00864C85"/>
    <w:rsid w:val="00865312"/>
    <w:rsid w:val="0086605D"/>
    <w:rsid w:val="00866F90"/>
    <w:rsid w:val="00870B08"/>
    <w:rsid w:val="00872E58"/>
    <w:rsid w:val="00872F34"/>
    <w:rsid w:val="00874083"/>
    <w:rsid w:val="0087412F"/>
    <w:rsid w:val="0088154D"/>
    <w:rsid w:val="008825EE"/>
    <w:rsid w:val="00882900"/>
    <w:rsid w:val="008851FA"/>
    <w:rsid w:val="00885C11"/>
    <w:rsid w:val="00885DFE"/>
    <w:rsid w:val="00890756"/>
    <w:rsid w:val="008910D2"/>
    <w:rsid w:val="008915EA"/>
    <w:rsid w:val="00892233"/>
    <w:rsid w:val="00893928"/>
    <w:rsid w:val="008949E3"/>
    <w:rsid w:val="00894CFE"/>
    <w:rsid w:val="0089681C"/>
    <w:rsid w:val="00896820"/>
    <w:rsid w:val="00897472"/>
    <w:rsid w:val="008976BD"/>
    <w:rsid w:val="008A4090"/>
    <w:rsid w:val="008A5A2D"/>
    <w:rsid w:val="008A5B23"/>
    <w:rsid w:val="008A6BA9"/>
    <w:rsid w:val="008A7569"/>
    <w:rsid w:val="008B0A1C"/>
    <w:rsid w:val="008B0D89"/>
    <w:rsid w:val="008B116C"/>
    <w:rsid w:val="008B12DA"/>
    <w:rsid w:val="008B12DE"/>
    <w:rsid w:val="008B1434"/>
    <w:rsid w:val="008B1C66"/>
    <w:rsid w:val="008B1ECD"/>
    <w:rsid w:val="008B24E6"/>
    <w:rsid w:val="008B3BA5"/>
    <w:rsid w:val="008B5245"/>
    <w:rsid w:val="008B5561"/>
    <w:rsid w:val="008B5DEF"/>
    <w:rsid w:val="008B6C83"/>
    <w:rsid w:val="008B70A4"/>
    <w:rsid w:val="008C0E0E"/>
    <w:rsid w:val="008C2089"/>
    <w:rsid w:val="008C2762"/>
    <w:rsid w:val="008C64BC"/>
    <w:rsid w:val="008C6FF1"/>
    <w:rsid w:val="008C7554"/>
    <w:rsid w:val="008C7A28"/>
    <w:rsid w:val="008D1ED3"/>
    <w:rsid w:val="008D376D"/>
    <w:rsid w:val="008D64EF"/>
    <w:rsid w:val="008D6A61"/>
    <w:rsid w:val="008D6CE9"/>
    <w:rsid w:val="008D7736"/>
    <w:rsid w:val="008E0B3B"/>
    <w:rsid w:val="008E122D"/>
    <w:rsid w:val="008E167F"/>
    <w:rsid w:val="008E2ABC"/>
    <w:rsid w:val="008E31A9"/>
    <w:rsid w:val="008E3FC2"/>
    <w:rsid w:val="008E417F"/>
    <w:rsid w:val="008E4AB2"/>
    <w:rsid w:val="008E4B05"/>
    <w:rsid w:val="008E64CD"/>
    <w:rsid w:val="008E7632"/>
    <w:rsid w:val="008E7CE7"/>
    <w:rsid w:val="008E7EDA"/>
    <w:rsid w:val="008F019E"/>
    <w:rsid w:val="008F04E8"/>
    <w:rsid w:val="008F08C7"/>
    <w:rsid w:val="008F10C0"/>
    <w:rsid w:val="008F1BFB"/>
    <w:rsid w:val="008F1C02"/>
    <w:rsid w:val="008F26EB"/>
    <w:rsid w:val="008F3600"/>
    <w:rsid w:val="008F605F"/>
    <w:rsid w:val="008F6886"/>
    <w:rsid w:val="008F75CB"/>
    <w:rsid w:val="009023F0"/>
    <w:rsid w:val="00902B0F"/>
    <w:rsid w:val="0090337F"/>
    <w:rsid w:val="009034FB"/>
    <w:rsid w:val="00903B62"/>
    <w:rsid w:val="0090610B"/>
    <w:rsid w:val="009064E5"/>
    <w:rsid w:val="00907BB9"/>
    <w:rsid w:val="00910236"/>
    <w:rsid w:val="0091040A"/>
    <w:rsid w:val="00910827"/>
    <w:rsid w:val="009124F9"/>
    <w:rsid w:val="009128A4"/>
    <w:rsid w:val="00913278"/>
    <w:rsid w:val="009138C6"/>
    <w:rsid w:val="0091548D"/>
    <w:rsid w:val="00916594"/>
    <w:rsid w:val="00917B36"/>
    <w:rsid w:val="00920176"/>
    <w:rsid w:val="00920385"/>
    <w:rsid w:val="00920FD9"/>
    <w:rsid w:val="00922A94"/>
    <w:rsid w:val="00922E09"/>
    <w:rsid w:val="009235A1"/>
    <w:rsid w:val="00923888"/>
    <w:rsid w:val="00923F42"/>
    <w:rsid w:val="00925BA0"/>
    <w:rsid w:val="00926368"/>
    <w:rsid w:val="009263BD"/>
    <w:rsid w:val="00926B91"/>
    <w:rsid w:val="009323D7"/>
    <w:rsid w:val="00932739"/>
    <w:rsid w:val="009336F5"/>
    <w:rsid w:val="00933A9A"/>
    <w:rsid w:val="0093466A"/>
    <w:rsid w:val="00935146"/>
    <w:rsid w:val="009353E8"/>
    <w:rsid w:val="00936C3B"/>
    <w:rsid w:val="009375E2"/>
    <w:rsid w:val="00937D36"/>
    <w:rsid w:val="00940C88"/>
    <w:rsid w:val="0094267C"/>
    <w:rsid w:val="00942E0D"/>
    <w:rsid w:val="00943342"/>
    <w:rsid w:val="00943C22"/>
    <w:rsid w:val="00947469"/>
    <w:rsid w:val="00947E3E"/>
    <w:rsid w:val="00947ED6"/>
    <w:rsid w:val="00950F6F"/>
    <w:rsid w:val="00953913"/>
    <w:rsid w:val="00953E9B"/>
    <w:rsid w:val="00955320"/>
    <w:rsid w:val="009559B9"/>
    <w:rsid w:val="00956A28"/>
    <w:rsid w:val="00960C02"/>
    <w:rsid w:val="009617E5"/>
    <w:rsid w:val="00961AAA"/>
    <w:rsid w:val="00963827"/>
    <w:rsid w:val="009669CA"/>
    <w:rsid w:val="009677F2"/>
    <w:rsid w:val="0096783C"/>
    <w:rsid w:val="0097002F"/>
    <w:rsid w:val="00971A0F"/>
    <w:rsid w:val="00973006"/>
    <w:rsid w:val="00973F52"/>
    <w:rsid w:val="00974E9C"/>
    <w:rsid w:val="00975241"/>
    <w:rsid w:val="00976A6C"/>
    <w:rsid w:val="00982316"/>
    <w:rsid w:val="00984083"/>
    <w:rsid w:val="00984D5C"/>
    <w:rsid w:val="00990BB6"/>
    <w:rsid w:val="009914B9"/>
    <w:rsid w:val="00991751"/>
    <w:rsid w:val="00992827"/>
    <w:rsid w:val="0099304D"/>
    <w:rsid w:val="0099709C"/>
    <w:rsid w:val="009A3C71"/>
    <w:rsid w:val="009A605F"/>
    <w:rsid w:val="009B0EB2"/>
    <w:rsid w:val="009B10C3"/>
    <w:rsid w:val="009B333B"/>
    <w:rsid w:val="009B33C3"/>
    <w:rsid w:val="009B4F06"/>
    <w:rsid w:val="009B585C"/>
    <w:rsid w:val="009B6C51"/>
    <w:rsid w:val="009B7096"/>
    <w:rsid w:val="009C28A1"/>
    <w:rsid w:val="009C38F7"/>
    <w:rsid w:val="009C4B08"/>
    <w:rsid w:val="009C51D5"/>
    <w:rsid w:val="009C71A9"/>
    <w:rsid w:val="009C7321"/>
    <w:rsid w:val="009C767D"/>
    <w:rsid w:val="009C7C22"/>
    <w:rsid w:val="009D1065"/>
    <w:rsid w:val="009D1BD4"/>
    <w:rsid w:val="009D25D5"/>
    <w:rsid w:val="009D5AAC"/>
    <w:rsid w:val="009E04C1"/>
    <w:rsid w:val="009E1110"/>
    <w:rsid w:val="009E1940"/>
    <w:rsid w:val="009E3449"/>
    <w:rsid w:val="009F0254"/>
    <w:rsid w:val="009F0267"/>
    <w:rsid w:val="009F0C15"/>
    <w:rsid w:val="009F23E3"/>
    <w:rsid w:val="009F33DC"/>
    <w:rsid w:val="009F3BE7"/>
    <w:rsid w:val="009F40C6"/>
    <w:rsid w:val="009F4121"/>
    <w:rsid w:val="009F459B"/>
    <w:rsid w:val="009F45A3"/>
    <w:rsid w:val="009F5DF8"/>
    <w:rsid w:val="009F7E9E"/>
    <w:rsid w:val="00A00299"/>
    <w:rsid w:val="00A0063D"/>
    <w:rsid w:val="00A01436"/>
    <w:rsid w:val="00A0354D"/>
    <w:rsid w:val="00A03B89"/>
    <w:rsid w:val="00A0495F"/>
    <w:rsid w:val="00A04FBD"/>
    <w:rsid w:val="00A05C31"/>
    <w:rsid w:val="00A06523"/>
    <w:rsid w:val="00A06BE8"/>
    <w:rsid w:val="00A06D05"/>
    <w:rsid w:val="00A10720"/>
    <w:rsid w:val="00A11312"/>
    <w:rsid w:val="00A11DAF"/>
    <w:rsid w:val="00A14785"/>
    <w:rsid w:val="00A1485E"/>
    <w:rsid w:val="00A149A2"/>
    <w:rsid w:val="00A153EE"/>
    <w:rsid w:val="00A157D0"/>
    <w:rsid w:val="00A17B87"/>
    <w:rsid w:val="00A202CC"/>
    <w:rsid w:val="00A21B0F"/>
    <w:rsid w:val="00A2450B"/>
    <w:rsid w:val="00A24E82"/>
    <w:rsid w:val="00A25461"/>
    <w:rsid w:val="00A255ED"/>
    <w:rsid w:val="00A25708"/>
    <w:rsid w:val="00A25F4A"/>
    <w:rsid w:val="00A271FB"/>
    <w:rsid w:val="00A308FB"/>
    <w:rsid w:val="00A31108"/>
    <w:rsid w:val="00A31AEF"/>
    <w:rsid w:val="00A3370C"/>
    <w:rsid w:val="00A34A76"/>
    <w:rsid w:val="00A3547E"/>
    <w:rsid w:val="00A3634F"/>
    <w:rsid w:val="00A36741"/>
    <w:rsid w:val="00A374C6"/>
    <w:rsid w:val="00A41A97"/>
    <w:rsid w:val="00A41F17"/>
    <w:rsid w:val="00A421CD"/>
    <w:rsid w:val="00A44BA9"/>
    <w:rsid w:val="00A451B5"/>
    <w:rsid w:val="00A45CCA"/>
    <w:rsid w:val="00A4629E"/>
    <w:rsid w:val="00A500B4"/>
    <w:rsid w:val="00A50ADE"/>
    <w:rsid w:val="00A5140C"/>
    <w:rsid w:val="00A52847"/>
    <w:rsid w:val="00A52F7D"/>
    <w:rsid w:val="00A53417"/>
    <w:rsid w:val="00A534B3"/>
    <w:rsid w:val="00A53C9F"/>
    <w:rsid w:val="00A55190"/>
    <w:rsid w:val="00A55E8A"/>
    <w:rsid w:val="00A56CA1"/>
    <w:rsid w:val="00A61050"/>
    <w:rsid w:val="00A639D1"/>
    <w:rsid w:val="00A67208"/>
    <w:rsid w:val="00A676E3"/>
    <w:rsid w:val="00A70BCA"/>
    <w:rsid w:val="00A712EE"/>
    <w:rsid w:val="00A74C77"/>
    <w:rsid w:val="00A764F0"/>
    <w:rsid w:val="00A773F7"/>
    <w:rsid w:val="00A77B69"/>
    <w:rsid w:val="00A80963"/>
    <w:rsid w:val="00A80AC0"/>
    <w:rsid w:val="00A81E1D"/>
    <w:rsid w:val="00A82617"/>
    <w:rsid w:val="00A82A74"/>
    <w:rsid w:val="00A83D88"/>
    <w:rsid w:val="00A84F6A"/>
    <w:rsid w:val="00A85397"/>
    <w:rsid w:val="00A903EF"/>
    <w:rsid w:val="00A907E9"/>
    <w:rsid w:val="00A9104F"/>
    <w:rsid w:val="00A913E0"/>
    <w:rsid w:val="00A931C7"/>
    <w:rsid w:val="00A95934"/>
    <w:rsid w:val="00AA109E"/>
    <w:rsid w:val="00AA15AF"/>
    <w:rsid w:val="00AA1A46"/>
    <w:rsid w:val="00AA1DEC"/>
    <w:rsid w:val="00AA256D"/>
    <w:rsid w:val="00AA26A7"/>
    <w:rsid w:val="00AA500D"/>
    <w:rsid w:val="00AA5635"/>
    <w:rsid w:val="00AA5B55"/>
    <w:rsid w:val="00AA6B09"/>
    <w:rsid w:val="00AA776A"/>
    <w:rsid w:val="00AB05A1"/>
    <w:rsid w:val="00AB05FB"/>
    <w:rsid w:val="00AB310B"/>
    <w:rsid w:val="00AB3324"/>
    <w:rsid w:val="00AB3FC7"/>
    <w:rsid w:val="00AB41F4"/>
    <w:rsid w:val="00AC06D9"/>
    <w:rsid w:val="00AC14CD"/>
    <w:rsid w:val="00AC3860"/>
    <w:rsid w:val="00AC442E"/>
    <w:rsid w:val="00AC48D2"/>
    <w:rsid w:val="00AC5C05"/>
    <w:rsid w:val="00AD03B3"/>
    <w:rsid w:val="00AD16A2"/>
    <w:rsid w:val="00AD5003"/>
    <w:rsid w:val="00AD51B9"/>
    <w:rsid w:val="00AD5702"/>
    <w:rsid w:val="00AD62D5"/>
    <w:rsid w:val="00AD65D2"/>
    <w:rsid w:val="00AD6775"/>
    <w:rsid w:val="00AD7824"/>
    <w:rsid w:val="00AE1758"/>
    <w:rsid w:val="00AE2B3D"/>
    <w:rsid w:val="00AE2C2C"/>
    <w:rsid w:val="00AE4B54"/>
    <w:rsid w:val="00AE5E87"/>
    <w:rsid w:val="00AE5EE9"/>
    <w:rsid w:val="00AE6BDB"/>
    <w:rsid w:val="00AF04F7"/>
    <w:rsid w:val="00AF09D0"/>
    <w:rsid w:val="00AF131C"/>
    <w:rsid w:val="00AF1922"/>
    <w:rsid w:val="00AF19BC"/>
    <w:rsid w:val="00AF283E"/>
    <w:rsid w:val="00AF3A46"/>
    <w:rsid w:val="00AF65B2"/>
    <w:rsid w:val="00B00C97"/>
    <w:rsid w:val="00B01A80"/>
    <w:rsid w:val="00B031BA"/>
    <w:rsid w:val="00B03378"/>
    <w:rsid w:val="00B03C85"/>
    <w:rsid w:val="00B04E0C"/>
    <w:rsid w:val="00B065D0"/>
    <w:rsid w:val="00B077D9"/>
    <w:rsid w:val="00B10A5A"/>
    <w:rsid w:val="00B11D48"/>
    <w:rsid w:val="00B16A5F"/>
    <w:rsid w:val="00B201FF"/>
    <w:rsid w:val="00B24FD1"/>
    <w:rsid w:val="00B25552"/>
    <w:rsid w:val="00B26AF2"/>
    <w:rsid w:val="00B26FC3"/>
    <w:rsid w:val="00B27264"/>
    <w:rsid w:val="00B31350"/>
    <w:rsid w:val="00B32D1F"/>
    <w:rsid w:val="00B32DA8"/>
    <w:rsid w:val="00B342D2"/>
    <w:rsid w:val="00B34376"/>
    <w:rsid w:val="00B35F2F"/>
    <w:rsid w:val="00B365EE"/>
    <w:rsid w:val="00B401CB"/>
    <w:rsid w:val="00B40235"/>
    <w:rsid w:val="00B40554"/>
    <w:rsid w:val="00B42C76"/>
    <w:rsid w:val="00B4447E"/>
    <w:rsid w:val="00B445B5"/>
    <w:rsid w:val="00B4489D"/>
    <w:rsid w:val="00B477F2"/>
    <w:rsid w:val="00B47BCE"/>
    <w:rsid w:val="00B51142"/>
    <w:rsid w:val="00B52093"/>
    <w:rsid w:val="00B5288E"/>
    <w:rsid w:val="00B52E8F"/>
    <w:rsid w:val="00B5425B"/>
    <w:rsid w:val="00B542BB"/>
    <w:rsid w:val="00B54388"/>
    <w:rsid w:val="00B54C7B"/>
    <w:rsid w:val="00B54DC1"/>
    <w:rsid w:val="00B5522C"/>
    <w:rsid w:val="00B55D3C"/>
    <w:rsid w:val="00B5695C"/>
    <w:rsid w:val="00B56CB9"/>
    <w:rsid w:val="00B5756A"/>
    <w:rsid w:val="00B57A3B"/>
    <w:rsid w:val="00B60816"/>
    <w:rsid w:val="00B613A1"/>
    <w:rsid w:val="00B61529"/>
    <w:rsid w:val="00B62BA1"/>
    <w:rsid w:val="00B63436"/>
    <w:rsid w:val="00B64B1B"/>
    <w:rsid w:val="00B64EBA"/>
    <w:rsid w:val="00B6728B"/>
    <w:rsid w:val="00B67989"/>
    <w:rsid w:val="00B7034F"/>
    <w:rsid w:val="00B703E6"/>
    <w:rsid w:val="00B71CB4"/>
    <w:rsid w:val="00B72A0E"/>
    <w:rsid w:val="00B73C4B"/>
    <w:rsid w:val="00B74C37"/>
    <w:rsid w:val="00B756AA"/>
    <w:rsid w:val="00B7700E"/>
    <w:rsid w:val="00B7777F"/>
    <w:rsid w:val="00B77A7E"/>
    <w:rsid w:val="00B814E4"/>
    <w:rsid w:val="00B816A4"/>
    <w:rsid w:val="00B8335F"/>
    <w:rsid w:val="00B83785"/>
    <w:rsid w:val="00B84211"/>
    <w:rsid w:val="00B85500"/>
    <w:rsid w:val="00B85AFC"/>
    <w:rsid w:val="00B8615A"/>
    <w:rsid w:val="00B92803"/>
    <w:rsid w:val="00B92A08"/>
    <w:rsid w:val="00B93303"/>
    <w:rsid w:val="00B934E5"/>
    <w:rsid w:val="00B93B34"/>
    <w:rsid w:val="00B93EC2"/>
    <w:rsid w:val="00B94DB2"/>
    <w:rsid w:val="00B95BA2"/>
    <w:rsid w:val="00BA25BC"/>
    <w:rsid w:val="00BA453F"/>
    <w:rsid w:val="00BA4FCF"/>
    <w:rsid w:val="00BA5470"/>
    <w:rsid w:val="00BA563B"/>
    <w:rsid w:val="00BA5CE0"/>
    <w:rsid w:val="00BA69FF"/>
    <w:rsid w:val="00BA6AAC"/>
    <w:rsid w:val="00BA7167"/>
    <w:rsid w:val="00BA75BB"/>
    <w:rsid w:val="00BA7D9B"/>
    <w:rsid w:val="00BB03CE"/>
    <w:rsid w:val="00BB093B"/>
    <w:rsid w:val="00BB0B17"/>
    <w:rsid w:val="00BB165C"/>
    <w:rsid w:val="00BB23A7"/>
    <w:rsid w:val="00BB267D"/>
    <w:rsid w:val="00BB533C"/>
    <w:rsid w:val="00BB54B0"/>
    <w:rsid w:val="00BB5990"/>
    <w:rsid w:val="00BB6156"/>
    <w:rsid w:val="00BB705B"/>
    <w:rsid w:val="00BB74A8"/>
    <w:rsid w:val="00BC1B35"/>
    <w:rsid w:val="00BC2D12"/>
    <w:rsid w:val="00BC2DF4"/>
    <w:rsid w:val="00BC39BF"/>
    <w:rsid w:val="00BC4EC2"/>
    <w:rsid w:val="00BC64DD"/>
    <w:rsid w:val="00BC6C55"/>
    <w:rsid w:val="00BD055F"/>
    <w:rsid w:val="00BD084D"/>
    <w:rsid w:val="00BD263E"/>
    <w:rsid w:val="00BD280E"/>
    <w:rsid w:val="00BD63BD"/>
    <w:rsid w:val="00BE2A60"/>
    <w:rsid w:val="00BE3090"/>
    <w:rsid w:val="00BE5533"/>
    <w:rsid w:val="00BE7082"/>
    <w:rsid w:val="00BE7E3E"/>
    <w:rsid w:val="00BE7EA4"/>
    <w:rsid w:val="00BF06FD"/>
    <w:rsid w:val="00BF10DF"/>
    <w:rsid w:val="00BF3436"/>
    <w:rsid w:val="00BF5051"/>
    <w:rsid w:val="00BF7589"/>
    <w:rsid w:val="00BF7DDD"/>
    <w:rsid w:val="00C01E8F"/>
    <w:rsid w:val="00C032C7"/>
    <w:rsid w:val="00C04564"/>
    <w:rsid w:val="00C047DE"/>
    <w:rsid w:val="00C05ED8"/>
    <w:rsid w:val="00C06286"/>
    <w:rsid w:val="00C06B01"/>
    <w:rsid w:val="00C07EBE"/>
    <w:rsid w:val="00C109B4"/>
    <w:rsid w:val="00C1403C"/>
    <w:rsid w:val="00C140DC"/>
    <w:rsid w:val="00C15CAD"/>
    <w:rsid w:val="00C15D0C"/>
    <w:rsid w:val="00C16342"/>
    <w:rsid w:val="00C214B7"/>
    <w:rsid w:val="00C216BC"/>
    <w:rsid w:val="00C21F6A"/>
    <w:rsid w:val="00C22663"/>
    <w:rsid w:val="00C227D2"/>
    <w:rsid w:val="00C22BE2"/>
    <w:rsid w:val="00C23A55"/>
    <w:rsid w:val="00C23E75"/>
    <w:rsid w:val="00C24AB1"/>
    <w:rsid w:val="00C25E33"/>
    <w:rsid w:val="00C275A9"/>
    <w:rsid w:val="00C27941"/>
    <w:rsid w:val="00C27AE3"/>
    <w:rsid w:val="00C27B61"/>
    <w:rsid w:val="00C27C0C"/>
    <w:rsid w:val="00C32694"/>
    <w:rsid w:val="00C3438F"/>
    <w:rsid w:val="00C34E0E"/>
    <w:rsid w:val="00C3687D"/>
    <w:rsid w:val="00C374B1"/>
    <w:rsid w:val="00C37907"/>
    <w:rsid w:val="00C37BBD"/>
    <w:rsid w:val="00C4082E"/>
    <w:rsid w:val="00C41342"/>
    <w:rsid w:val="00C417E1"/>
    <w:rsid w:val="00C41B7E"/>
    <w:rsid w:val="00C43B34"/>
    <w:rsid w:val="00C44879"/>
    <w:rsid w:val="00C46D22"/>
    <w:rsid w:val="00C507CB"/>
    <w:rsid w:val="00C52A47"/>
    <w:rsid w:val="00C52F11"/>
    <w:rsid w:val="00C532A8"/>
    <w:rsid w:val="00C536EB"/>
    <w:rsid w:val="00C54CEB"/>
    <w:rsid w:val="00C55A4F"/>
    <w:rsid w:val="00C609C6"/>
    <w:rsid w:val="00C60A25"/>
    <w:rsid w:val="00C63CDD"/>
    <w:rsid w:val="00C643AD"/>
    <w:rsid w:val="00C64A0A"/>
    <w:rsid w:val="00C66066"/>
    <w:rsid w:val="00C673B2"/>
    <w:rsid w:val="00C674A0"/>
    <w:rsid w:val="00C70281"/>
    <w:rsid w:val="00C7226E"/>
    <w:rsid w:val="00C72284"/>
    <w:rsid w:val="00C72362"/>
    <w:rsid w:val="00C7254A"/>
    <w:rsid w:val="00C7276E"/>
    <w:rsid w:val="00C73B74"/>
    <w:rsid w:val="00C74656"/>
    <w:rsid w:val="00C765AC"/>
    <w:rsid w:val="00C807FB"/>
    <w:rsid w:val="00C80C2E"/>
    <w:rsid w:val="00C80ED9"/>
    <w:rsid w:val="00C8110C"/>
    <w:rsid w:val="00C831A2"/>
    <w:rsid w:val="00C85206"/>
    <w:rsid w:val="00C852F7"/>
    <w:rsid w:val="00C8651B"/>
    <w:rsid w:val="00C86D65"/>
    <w:rsid w:val="00C907EA"/>
    <w:rsid w:val="00C91B71"/>
    <w:rsid w:val="00C9275B"/>
    <w:rsid w:val="00C93F14"/>
    <w:rsid w:val="00C9486F"/>
    <w:rsid w:val="00C95A30"/>
    <w:rsid w:val="00C96EED"/>
    <w:rsid w:val="00CA0A84"/>
    <w:rsid w:val="00CA16DC"/>
    <w:rsid w:val="00CA4CAA"/>
    <w:rsid w:val="00CA7490"/>
    <w:rsid w:val="00CB0C54"/>
    <w:rsid w:val="00CB24E9"/>
    <w:rsid w:val="00CB33C3"/>
    <w:rsid w:val="00CB4306"/>
    <w:rsid w:val="00CB458F"/>
    <w:rsid w:val="00CB7793"/>
    <w:rsid w:val="00CB7945"/>
    <w:rsid w:val="00CB7BF2"/>
    <w:rsid w:val="00CC0447"/>
    <w:rsid w:val="00CC1D2F"/>
    <w:rsid w:val="00CC34D6"/>
    <w:rsid w:val="00CC6994"/>
    <w:rsid w:val="00CC6D59"/>
    <w:rsid w:val="00CD00C7"/>
    <w:rsid w:val="00CD08FC"/>
    <w:rsid w:val="00CD12AF"/>
    <w:rsid w:val="00CD221E"/>
    <w:rsid w:val="00CD5061"/>
    <w:rsid w:val="00CD61AA"/>
    <w:rsid w:val="00CD6517"/>
    <w:rsid w:val="00CD7126"/>
    <w:rsid w:val="00CE0093"/>
    <w:rsid w:val="00CE31CF"/>
    <w:rsid w:val="00CE3BB3"/>
    <w:rsid w:val="00CE4BE8"/>
    <w:rsid w:val="00CF0AC0"/>
    <w:rsid w:val="00CF0BB1"/>
    <w:rsid w:val="00CF14FF"/>
    <w:rsid w:val="00CF1B7E"/>
    <w:rsid w:val="00CF2BD8"/>
    <w:rsid w:val="00CF42D0"/>
    <w:rsid w:val="00CF6220"/>
    <w:rsid w:val="00D000F1"/>
    <w:rsid w:val="00D00172"/>
    <w:rsid w:val="00D00BFE"/>
    <w:rsid w:val="00D00E2B"/>
    <w:rsid w:val="00D00F65"/>
    <w:rsid w:val="00D017D9"/>
    <w:rsid w:val="00D023A1"/>
    <w:rsid w:val="00D02B81"/>
    <w:rsid w:val="00D02DF3"/>
    <w:rsid w:val="00D030C9"/>
    <w:rsid w:val="00D03BA6"/>
    <w:rsid w:val="00D03E7C"/>
    <w:rsid w:val="00D05743"/>
    <w:rsid w:val="00D066B2"/>
    <w:rsid w:val="00D075AA"/>
    <w:rsid w:val="00D1000B"/>
    <w:rsid w:val="00D10596"/>
    <w:rsid w:val="00D10876"/>
    <w:rsid w:val="00D113B2"/>
    <w:rsid w:val="00D11605"/>
    <w:rsid w:val="00D1264B"/>
    <w:rsid w:val="00D12890"/>
    <w:rsid w:val="00D12F01"/>
    <w:rsid w:val="00D1308A"/>
    <w:rsid w:val="00D130AD"/>
    <w:rsid w:val="00D1628B"/>
    <w:rsid w:val="00D163F2"/>
    <w:rsid w:val="00D16B12"/>
    <w:rsid w:val="00D202EE"/>
    <w:rsid w:val="00D20333"/>
    <w:rsid w:val="00D209C1"/>
    <w:rsid w:val="00D20E58"/>
    <w:rsid w:val="00D210F5"/>
    <w:rsid w:val="00D23426"/>
    <w:rsid w:val="00D25098"/>
    <w:rsid w:val="00D2569A"/>
    <w:rsid w:val="00D27761"/>
    <w:rsid w:val="00D279EF"/>
    <w:rsid w:val="00D27F4C"/>
    <w:rsid w:val="00D30FF6"/>
    <w:rsid w:val="00D3104D"/>
    <w:rsid w:val="00D3143A"/>
    <w:rsid w:val="00D320DE"/>
    <w:rsid w:val="00D33ABD"/>
    <w:rsid w:val="00D35797"/>
    <w:rsid w:val="00D371CA"/>
    <w:rsid w:val="00D4066C"/>
    <w:rsid w:val="00D41647"/>
    <w:rsid w:val="00D42E22"/>
    <w:rsid w:val="00D431A3"/>
    <w:rsid w:val="00D43623"/>
    <w:rsid w:val="00D46B2D"/>
    <w:rsid w:val="00D5191D"/>
    <w:rsid w:val="00D525AD"/>
    <w:rsid w:val="00D52F7C"/>
    <w:rsid w:val="00D53FB4"/>
    <w:rsid w:val="00D55A72"/>
    <w:rsid w:val="00D57D1E"/>
    <w:rsid w:val="00D57EB0"/>
    <w:rsid w:val="00D6075C"/>
    <w:rsid w:val="00D613FA"/>
    <w:rsid w:val="00D6151B"/>
    <w:rsid w:val="00D616AE"/>
    <w:rsid w:val="00D61714"/>
    <w:rsid w:val="00D61E57"/>
    <w:rsid w:val="00D62942"/>
    <w:rsid w:val="00D62BE5"/>
    <w:rsid w:val="00D62E4C"/>
    <w:rsid w:val="00D632B5"/>
    <w:rsid w:val="00D63515"/>
    <w:rsid w:val="00D63812"/>
    <w:rsid w:val="00D63D94"/>
    <w:rsid w:val="00D64972"/>
    <w:rsid w:val="00D6653D"/>
    <w:rsid w:val="00D70DA5"/>
    <w:rsid w:val="00D72048"/>
    <w:rsid w:val="00D738EF"/>
    <w:rsid w:val="00D73CD4"/>
    <w:rsid w:val="00D74576"/>
    <w:rsid w:val="00D75EDF"/>
    <w:rsid w:val="00D76813"/>
    <w:rsid w:val="00D81085"/>
    <w:rsid w:val="00D814A4"/>
    <w:rsid w:val="00D854A0"/>
    <w:rsid w:val="00D857C1"/>
    <w:rsid w:val="00D85864"/>
    <w:rsid w:val="00D85CE2"/>
    <w:rsid w:val="00D8644E"/>
    <w:rsid w:val="00D8770F"/>
    <w:rsid w:val="00D90456"/>
    <w:rsid w:val="00D913C1"/>
    <w:rsid w:val="00D9350F"/>
    <w:rsid w:val="00D93B1E"/>
    <w:rsid w:val="00D93D71"/>
    <w:rsid w:val="00D97964"/>
    <w:rsid w:val="00DA0010"/>
    <w:rsid w:val="00DA46A3"/>
    <w:rsid w:val="00DA477C"/>
    <w:rsid w:val="00DA6154"/>
    <w:rsid w:val="00DA6962"/>
    <w:rsid w:val="00DB2502"/>
    <w:rsid w:val="00DB4161"/>
    <w:rsid w:val="00DB41B6"/>
    <w:rsid w:val="00DB5001"/>
    <w:rsid w:val="00DB5E1B"/>
    <w:rsid w:val="00DB7B82"/>
    <w:rsid w:val="00DC0BFF"/>
    <w:rsid w:val="00DC105B"/>
    <w:rsid w:val="00DC2A12"/>
    <w:rsid w:val="00DC2DAC"/>
    <w:rsid w:val="00DC3AE9"/>
    <w:rsid w:val="00DC4CCE"/>
    <w:rsid w:val="00DC57A0"/>
    <w:rsid w:val="00DC5C34"/>
    <w:rsid w:val="00DC7C70"/>
    <w:rsid w:val="00DD0F6C"/>
    <w:rsid w:val="00DD1C42"/>
    <w:rsid w:val="00DD21A1"/>
    <w:rsid w:val="00DD49CE"/>
    <w:rsid w:val="00DD58F0"/>
    <w:rsid w:val="00DD59E2"/>
    <w:rsid w:val="00DD5F9A"/>
    <w:rsid w:val="00DD5FDF"/>
    <w:rsid w:val="00DD72E9"/>
    <w:rsid w:val="00DD77F5"/>
    <w:rsid w:val="00DE0292"/>
    <w:rsid w:val="00DE061B"/>
    <w:rsid w:val="00DE1F59"/>
    <w:rsid w:val="00DE5164"/>
    <w:rsid w:val="00DE6E83"/>
    <w:rsid w:val="00DE7CAA"/>
    <w:rsid w:val="00DF01A2"/>
    <w:rsid w:val="00DF1DB3"/>
    <w:rsid w:val="00DF311B"/>
    <w:rsid w:val="00DF4B43"/>
    <w:rsid w:val="00DF5755"/>
    <w:rsid w:val="00DF6231"/>
    <w:rsid w:val="00DF6764"/>
    <w:rsid w:val="00DF6B17"/>
    <w:rsid w:val="00E003D9"/>
    <w:rsid w:val="00E018A6"/>
    <w:rsid w:val="00E030E8"/>
    <w:rsid w:val="00E037A9"/>
    <w:rsid w:val="00E04938"/>
    <w:rsid w:val="00E0544C"/>
    <w:rsid w:val="00E057FA"/>
    <w:rsid w:val="00E0580C"/>
    <w:rsid w:val="00E05B5F"/>
    <w:rsid w:val="00E07044"/>
    <w:rsid w:val="00E10810"/>
    <w:rsid w:val="00E11328"/>
    <w:rsid w:val="00E12B88"/>
    <w:rsid w:val="00E12C1B"/>
    <w:rsid w:val="00E136C9"/>
    <w:rsid w:val="00E13C68"/>
    <w:rsid w:val="00E14E26"/>
    <w:rsid w:val="00E15909"/>
    <w:rsid w:val="00E16394"/>
    <w:rsid w:val="00E16F85"/>
    <w:rsid w:val="00E20626"/>
    <w:rsid w:val="00E231B4"/>
    <w:rsid w:val="00E2358F"/>
    <w:rsid w:val="00E2387D"/>
    <w:rsid w:val="00E24586"/>
    <w:rsid w:val="00E24822"/>
    <w:rsid w:val="00E2553A"/>
    <w:rsid w:val="00E2704C"/>
    <w:rsid w:val="00E27140"/>
    <w:rsid w:val="00E278BE"/>
    <w:rsid w:val="00E27CF0"/>
    <w:rsid w:val="00E306CB"/>
    <w:rsid w:val="00E30D63"/>
    <w:rsid w:val="00E31B5D"/>
    <w:rsid w:val="00E31C93"/>
    <w:rsid w:val="00E3211F"/>
    <w:rsid w:val="00E3275C"/>
    <w:rsid w:val="00E33841"/>
    <w:rsid w:val="00E34B0D"/>
    <w:rsid w:val="00E41A89"/>
    <w:rsid w:val="00E4439A"/>
    <w:rsid w:val="00E4460D"/>
    <w:rsid w:val="00E446AC"/>
    <w:rsid w:val="00E45132"/>
    <w:rsid w:val="00E451AA"/>
    <w:rsid w:val="00E45333"/>
    <w:rsid w:val="00E45650"/>
    <w:rsid w:val="00E45728"/>
    <w:rsid w:val="00E470B8"/>
    <w:rsid w:val="00E47429"/>
    <w:rsid w:val="00E4779B"/>
    <w:rsid w:val="00E531AF"/>
    <w:rsid w:val="00E534EB"/>
    <w:rsid w:val="00E53BE2"/>
    <w:rsid w:val="00E5436E"/>
    <w:rsid w:val="00E5555D"/>
    <w:rsid w:val="00E561FB"/>
    <w:rsid w:val="00E56574"/>
    <w:rsid w:val="00E56DF1"/>
    <w:rsid w:val="00E6071B"/>
    <w:rsid w:val="00E6084B"/>
    <w:rsid w:val="00E611E3"/>
    <w:rsid w:val="00E6207F"/>
    <w:rsid w:val="00E63A13"/>
    <w:rsid w:val="00E644C6"/>
    <w:rsid w:val="00E7312A"/>
    <w:rsid w:val="00E7439D"/>
    <w:rsid w:val="00E76E0C"/>
    <w:rsid w:val="00E77580"/>
    <w:rsid w:val="00E80EDC"/>
    <w:rsid w:val="00E810FA"/>
    <w:rsid w:val="00E81AFF"/>
    <w:rsid w:val="00E82010"/>
    <w:rsid w:val="00E8350E"/>
    <w:rsid w:val="00E84080"/>
    <w:rsid w:val="00E851EC"/>
    <w:rsid w:val="00E85849"/>
    <w:rsid w:val="00E86812"/>
    <w:rsid w:val="00E86DF2"/>
    <w:rsid w:val="00E90053"/>
    <w:rsid w:val="00E9363C"/>
    <w:rsid w:val="00E93BA0"/>
    <w:rsid w:val="00E94DBF"/>
    <w:rsid w:val="00E95A57"/>
    <w:rsid w:val="00E96C1F"/>
    <w:rsid w:val="00EA10BA"/>
    <w:rsid w:val="00EA242A"/>
    <w:rsid w:val="00EA2A73"/>
    <w:rsid w:val="00EA2BB4"/>
    <w:rsid w:val="00EA5C43"/>
    <w:rsid w:val="00EB1868"/>
    <w:rsid w:val="00EB20D1"/>
    <w:rsid w:val="00EB2163"/>
    <w:rsid w:val="00EB27D1"/>
    <w:rsid w:val="00EB3AA8"/>
    <w:rsid w:val="00EB3ECE"/>
    <w:rsid w:val="00EB41E4"/>
    <w:rsid w:val="00EB4492"/>
    <w:rsid w:val="00EB44CE"/>
    <w:rsid w:val="00EB4D66"/>
    <w:rsid w:val="00EB5448"/>
    <w:rsid w:val="00EB5CA5"/>
    <w:rsid w:val="00EB5CCA"/>
    <w:rsid w:val="00EB71E2"/>
    <w:rsid w:val="00EC0365"/>
    <w:rsid w:val="00EC28D5"/>
    <w:rsid w:val="00EC298E"/>
    <w:rsid w:val="00EC2FAE"/>
    <w:rsid w:val="00EC3516"/>
    <w:rsid w:val="00EC57F0"/>
    <w:rsid w:val="00EC621B"/>
    <w:rsid w:val="00EC6287"/>
    <w:rsid w:val="00EC6F70"/>
    <w:rsid w:val="00EC7079"/>
    <w:rsid w:val="00ED1D74"/>
    <w:rsid w:val="00ED3D82"/>
    <w:rsid w:val="00ED4C8A"/>
    <w:rsid w:val="00ED5B84"/>
    <w:rsid w:val="00ED5CDF"/>
    <w:rsid w:val="00ED609C"/>
    <w:rsid w:val="00ED6F2E"/>
    <w:rsid w:val="00ED7C74"/>
    <w:rsid w:val="00EE176C"/>
    <w:rsid w:val="00EE22C3"/>
    <w:rsid w:val="00EE40FA"/>
    <w:rsid w:val="00EE4FA3"/>
    <w:rsid w:val="00EE5401"/>
    <w:rsid w:val="00EE5970"/>
    <w:rsid w:val="00EF5CBA"/>
    <w:rsid w:val="00EF6F7D"/>
    <w:rsid w:val="00EF713C"/>
    <w:rsid w:val="00F0038B"/>
    <w:rsid w:val="00F01166"/>
    <w:rsid w:val="00F01CCD"/>
    <w:rsid w:val="00F0345C"/>
    <w:rsid w:val="00F0408D"/>
    <w:rsid w:val="00F043FC"/>
    <w:rsid w:val="00F049DD"/>
    <w:rsid w:val="00F069F2"/>
    <w:rsid w:val="00F10335"/>
    <w:rsid w:val="00F114B1"/>
    <w:rsid w:val="00F148E2"/>
    <w:rsid w:val="00F14BFE"/>
    <w:rsid w:val="00F14E52"/>
    <w:rsid w:val="00F15552"/>
    <w:rsid w:val="00F15C08"/>
    <w:rsid w:val="00F21DB1"/>
    <w:rsid w:val="00F22642"/>
    <w:rsid w:val="00F228CC"/>
    <w:rsid w:val="00F233BE"/>
    <w:rsid w:val="00F26C3C"/>
    <w:rsid w:val="00F26FC8"/>
    <w:rsid w:val="00F3060A"/>
    <w:rsid w:val="00F320A9"/>
    <w:rsid w:val="00F3235B"/>
    <w:rsid w:val="00F32F19"/>
    <w:rsid w:val="00F34FE9"/>
    <w:rsid w:val="00F35BED"/>
    <w:rsid w:val="00F35D31"/>
    <w:rsid w:val="00F42DB8"/>
    <w:rsid w:val="00F42DE1"/>
    <w:rsid w:val="00F4354C"/>
    <w:rsid w:val="00F437F2"/>
    <w:rsid w:val="00F438AF"/>
    <w:rsid w:val="00F442D4"/>
    <w:rsid w:val="00F4431C"/>
    <w:rsid w:val="00F453C2"/>
    <w:rsid w:val="00F45958"/>
    <w:rsid w:val="00F45C96"/>
    <w:rsid w:val="00F45F05"/>
    <w:rsid w:val="00F51E7E"/>
    <w:rsid w:val="00F521A2"/>
    <w:rsid w:val="00F54C74"/>
    <w:rsid w:val="00F55BF7"/>
    <w:rsid w:val="00F563FA"/>
    <w:rsid w:val="00F5678E"/>
    <w:rsid w:val="00F57D56"/>
    <w:rsid w:val="00F57E7D"/>
    <w:rsid w:val="00F60355"/>
    <w:rsid w:val="00F608E0"/>
    <w:rsid w:val="00F60D9A"/>
    <w:rsid w:val="00F6362A"/>
    <w:rsid w:val="00F63C0E"/>
    <w:rsid w:val="00F64C2E"/>
    <w:rsid w:val="00F64CE1"/>
    <w:rsid w:val="00F666D6"/>
    <w:rsid w:val="00F669D3"/>
    <w:rsid w:val="00F66D0D"/>
    <w:rsid w:val="00F6720E"/>
    <w:rsid w:val="00F704BA"/>
    <w:rsid w:val="00F73BDD"/>
    <w:rsid w:val="00F74D47"/>
    <w:rsid w:val="00F76292"/>
    <w:rsid w:val="00F76A2F"/>
    <w:rsid w:val="00F76CDC"/>
    <w:rsid w:val="00F812CE"/>
    <w:rsid w:val="00F82118"/>
    <w:rsid w:val="00F830CD"/>
    <w:rsid w:val="00F85AE5"/>
    <w:rsid w:val="00F85D19"/>
    <w:rsid w:val="00F86C67"/>
    <w:rsid w:val="00F86F7C"/>
    <w:rsid w:val="00F87B1F"/>
    <w:rsid w:val="00F90546"/>
    <w:rsid w:val="00F909BD"/>
    <w:rsid w:val="00F91635"/>
    <w:rsid w:val="00F919B2"/>
    <w:rsid w:val="00F92508"/>
    <w:rsid w:val="00F932FB"/>
    <w:rsid w:val="00F953B9"/>
    <w:rsid w:val="00F95442"/>
    <w:rsid w:val="00F95494"/>
    <w:rsid w:val="00F95877"/>
    <w:rsid w:val="00F97C31"/>
    <w:rsid w:val="00FA09F5"/>
    <w:rsid w:val="00FA0A8B"/>
    <w:rsid w:val="00FA144C"/>
    <w:rsid w:val="00FA16DA"/>
    <w:rsid w:val="00FA2C52"/>
    <w:rsid w:val="00FA3B19"/>
    <w:rsid w:val="00FA4158"/>
    <w:rsid w:val="00FA6A0A"/>
    <w:rsid w:val="00FB39B3"/>
    <w:rsid w:val="00FB3DE5"/>
    <w:rsid w:val="00FB6647"/>
    <w:rsid w:val="00FB760C"/>
    <w:rsid w:val="00FC14E1"/>
    <w:rsid w:val="00FC1662"/>
    <w:rsid w:val="00FC23A5"/>
    <w:rsid w:val="00FC2A8E"/>
    <w:rsid w:val="00FC2FA4"/>
    <w:rsid w:val="00FC392F"/>
    <w:rsid w:val="00FC3A45"/>
    <w:rsid w:val="00FC7B0A"/>
    <w:rsid w:val="00FD0E16"/>
    <w:rsid w:val="00FD3FA0"/>
    <w:rsid w:val="00FD4AD0"/>
    <w:rsid w:val="00FD5FD9"/>
    <w:rsid w:val="00FE1E1B"/>
    <w:rsid w:val="00FE2FF1"/>
    <w:rsid w:val="00FE3708"/>
    <w:rsid w:val="00FE3DB7"/>
    <w:rsid w:val="00FE3E6E"/>
    <w:rsid w:val="00FE4B56"/>
    <w:rsid w:val="00FE6959"/>
    <w:rsid w:val="00FE6E12"/>
    <w:rsid w:val="00FE7CA9"/>
    <w:rsid w:val="00FF3A32"/>
    <w:rsid w:val="00FF7B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DC"/>
    <w:rPr>
      <w:rFonts w:ascii="Arial" w:hAnsi="Arial" w:cs="Arial"/>
      <w:sz w:val="19"/>
      <w:szCs w:val="19"/>
      <w:lang w:val="nl-NL" w:eastAsia="nl-NL"/>
    </w:rPr>
  </w:style>
  <w:style w:type="paragraph" w:styleId="Titre1">
    <w:name w:val="heading 1"/>
    <w:basedOn w:val="Normal"/>
    <w:next w:val="Normal"/>
    <w:link w:val="Titre1Car"/>
    <w:uiPriority w:val="99"/>
    <w:qFormat/>
    <w:rsid w:val="00C140DC"/>
    <w:pPr>
      <w:keepNext/>
      <w:numPr>
        <w:numId w:val="1"/>
      </w:numPr>
      <w:spacing w:before="240" w:after="60"/>
      <w:outlineLvl w:val="0"/>
    </w:pPr>
    <w:rPr>
      <w:b/>
      <w:bCs/>
      <w:kern w:val="32"/>
      <w:sz w:val="48"/>
      <w:szCs w:val="48"/>
    </w:rPr>
  </w:style>
  <w:style w:type="paragraph" w:styleId="Titre2">
    <w:name w:val="heading 2"/>
    <w:basedOn w:val="Normal"/>
    <w:next w:val="Normal"/>
    <w:link w:val="Titre2Car"/>
    <w:uiPriority w:val="99"/>
    <w:qFormat/>
    <w:rsid w:val="00C140DC"/>
    <w:pPr>
      <w:keepNext/>
      <w:numPr>
        <w:ilvl w:val="1"/>
        <w:numId w:val="1"/>
      </w:numPr>
      <w:spacing w:before="240" w:after="60"/>
      <w:jc w:val="center"/>
      <w:outlineLvl w:val="1"/>
    </w:pPr>
    <w:rPr>
      <w:b/>
      <w:bCs/>
      <w:i/>
      <w:iCs/>
      <w:sz w:val="28"/>
      <w:szCs w:val="28"/>
    </w:rPr>
  </w:style>
  <w:style w:type="paragraph" w:styleId="Titre3">
    <w:name w:val="heading 3"/>
    <w:basedOn w:val="Normal"/>
    <w:next w:val="Normal"/>
    <w:link w:val="Titre3Car"/>
    <w:uiPriority w:val="99"/>
    <w:qFormat/>
    <w:rsid w:val="00C140DC"/>
    <w:pPr>
      <w:keepNext/>
      <w:numPr>
        <w:ilvl w:val="2"/>
        <w:numId w:val="1"/>
      </w:numPr>
      <w:spacing w:before="60" w:after="60"/>
      <w:outlineLvl w:val="2"/>
    </w:pPr>
    <w:rPr>
      <w:b/>
      <w:bCs/>
      <w:sz w:val="20"/>
      <w:szCs w:val="20"/>
    </w:rPr>
  </w:style>
  <w:style w:type="paragraph" w:styleId="Titre4">
    <w:name w:val="heading 4"/>
    <w:basedOn w:val="Normal"/>
    <w:next w:val="Normal"/>
    <w:link w:val="Titre4Car"/>
    <w:uiPriority w:val="99"/>
    <w:qFormat/>
    <w:rsid w:val="00DE7CAA"/>
    <w:pPr>
      <w:keepNext/>
      <w:numPr>
        <w:ilvl w:val="3"/>
        <w:numId w:val="1"/>
      </w:numPr>
      <w:spacing w:before="240" w:after="60"/>
      <w:outlineLvl w:val="3"/>
    </w:pPr>
    <w:rPr>
      <w:rFonts w:ascii="Times New Roman" w:hAnsi="Times New Roman" w:cs="Times New Roman"/>
      <w:b/>
      <w:bCs/>
      <w:sz w:val="28"/>
      <w:szCs w:val="28"/>
    </w:rPr>
  </w:style>
  <w:style w:type="paragraph" w:styleId="Titre8">
    <w:name w:val="heading 8"/>
    <w:basedOn w:val="Normal"/>
    <w:next w:val="Normal"/>
    <w:link w:val="Titre8Car"/>
    <w:uiPriority w:val="99"/>
    <w:qFormat/>
    <w:rsid w:val="00DE7CAA"/>
    <w:pPr>
      <w:numPr>
        <w:ilvl w:val="7"/>
        <w:numId w:val="1"/>
      </w:numPr>
      <w:spacing w:before="240" w:after="60"/>
      <w:outlineLvl w:val="7"/>
    </w:pPr>
    <w:rPr>
      <w:rFonts w:ascii="Times New Roman" w:hAnsi="Times New Roman"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B2074"/>
    <w:rPr>
      <w:rFonts w:ascii="Arial" w:hAnsi="Arial" w:cs="Arial"/>
      <w:b/>
      <w:bCs/>
      <w:kern w:val="32"/>
      <w:sz w:val="48"/>
      <w:szCs w:val="48"/>
      <w:lang w:val="nl-NL" w:eastAsia="nl-NL"/>
    </w:rPr>
  </w:style>
  <w:style w:type="character" w:customStyle="1" w:styleId="Titre2Car">
    <w:name w:val="Titre 2 Car"/>
    <w:basedOn w:val="Policepardfaut"/>
    <w:link w:val="Titre2"/>
    <w:uiPriority w:val="99"/>
    <w:rsid w:val="006B2074"/>
    <w:rPr>
      <w:rFonts w:ascii="Arial" w:hAnsi="Arial" w:cs="Arial"/>
      <w:b/>
      <w:bCs/>
      <w:i/>
      <w:iCs/>
      <w:sz w:val="28"/>
      <w:szCs w:val="28"/>
      <w:lang w:val="nl-NL" w:eastAsia="nl-NL"/>
    </w:rPr>
  </w:style>
  <w:style w:type="character" w:customStyle="1" w:styleId="Titre3Car">
    <w:name w:val="Titre 3 Car"/>
    <w:basedOn w:val="Policepardfaut"/>
    <w:link w:val="Titre3"/>
    <w:uiPriority w:val="99"/>
    <w:rsid w:val="006B2074"/>
    <w:rPr>
      <w:rFonts w:ascii="Arial" w:hAnsi="Arial" w:cs="Arial"/>
      <w:b/>
      <w:bCs/>
      <w:sz w:val="20"/>
      <w:szCs w:val="20"/>
      <w:lang w:val="nl-NL" w:eastAsia="nl-NL"/>
    </w:rPr>
  </w:style>
  <w:style w:type="character" w:customStyle="1" w:styleId="Titre4Car">
    <w:name w:val="Titre 4 Car"/>
    <w:basedOn w:val="Policepardfaut"/>
    <w:link w:val="Titre4"/>
    <w:uiPriority w:val="99"/>
    <w:rsid w:val="006B2074"/>
    <w:rPr>
      <w:b/>
      <w:bCs/>
      <w:sz w:val="28"/>
      <w:szCs w:val="28"/>
      <w:lang w:val="nl-NL" w:eastAsia="nl-NL"/>
    </w:rPr>
  </w:style>
  <w:style w:type="character" w:customStyle="1" w:styleId="Titre8Car">
    <w:name w:val="Titre 8 Car"/>
    <w:basedOn w:val="Policepardfaut"/>
    <w:link w:val="Titre8"/>
    <w:uiPriority w:val="99"/>
    <w:rsid w:val="006B2074"/>
    <w:rPr>
      <w:i/>
      <w:iCs/>
      <w:sz w:val="24"/>
      <w:szCs w:val="24"/>
      <w:lang w:val="nl-NL" w:eastAsia="nl-NL"/>
    </w:rPr>
  </w:style>
  <w:style w:type="paragraph" w:customStyle="1" w:styleId="Veldtekst">
    <w:name w:val="Veldtekst"/>
    <w:basedOn w:val="Normal"/>
    <w:uiPriority w:val="99"/>
    <w:rsid w:val="00C140DC"/>
    <w:pPr>
      <w:spacing w:before="60" w:after="60"/>
    </w:pPr>
  </w:style>
  <w:style w:type="paragraph" w:customStyle="1" w:styleId="Veldlabel">
    <w:name w:val="Veldlabel"/>
    <w:basedOn w:val="Normal"/>
    <w:uiPriority w:val="99"/>
    <w:rsid w:val="00C140DC"/>
    <w:pPr>
      <w:spacing w:before="60" w:after="60"/>
    </w:pPr>
    <w:rPr>
      <w:b/>
    </w:rPr>
  </w:style>
  <w:style w:type="paragraph" w:customStyle="1" w:styleId="Informatieoververgadering">
    <w:name w:val="Informatie over vergadering"/>
    <w:basedOn w:val="Veldtekst"/>
    <w:uiPriority w:val="99"/>
    <w:rsid w:val="00C140DC"/>
    <w:pPr>
      <w:spacing w:before="0" w:after="0"/>
      <w:ind w:left="990"/>
      <w:jc w:val="right"/>
    </w:pPr>
    <w:rPr>
      <w:b/>
    </w:rPr>
  </w:style>
  <w:style w:type="paragraph" w:customStyle="1" w:styleId="Actiepunt">
    <w:name w:val="Actiepunt"/>
    <w:basedOn w:val="Normal"/>
    <w:uiPriority w:val="99"/>
    <w:rsid w:val="00C140DC"/>
    <w:pPr>
      <w:tabs>
        <w:tab w:val="num" w:pos="360"/>
        <w:tab w:val="left" w:pos="5040"/>
      </w:tabs>
      <w:spacing w:before="60" w:after="60"/>
      <w:ind w:left="360" w:hanging="360"/>
    </w:pPr>
  </w:style>
  <w:style w:type="table" w:customStyle="1" w:styleId="Standaardtabel1">
    <w:name w:val="Standaardtabel1"/>
    <w:uiPriority w:val="99"/>
    <w:semiHidden/>
    <w:rsid w:val="00C140DC"/>
    <w:rPr>
      <w:sz w:val="20"/>
      <w:szCs w:val="20"/>
      <w:lang w:val="nl-NL" w:eastAsia="nl-NL"/>
    </w:rPr>
    <w:tblPr>
      <w:tblCellMar>
        <w:top w:w="0" w:type="dxa"/>
        <w:left w:w="108" w:type="dxa"/>
        <w:bottom w:w="0" w:type="dxa"/>
        <w:right w:w="108" w:type="dxa"/>
      </w:tblCellMar>
    </w:tblPr>
  </w:style>
  <w:style w:type="table" w:styleId="Grilledutableau">
    <w:name w:val="Table Grid"/>
    <w:basedOn w:val="TableauNormal"/>
    <w:uiPriority w:val="59"/>
    <w:rsid w:val="002134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86142A"/>
    <w:pPr>
      <w:tabs>
        <w:tab w:val="center" w:pos="4536"/>
        <w:tab w:val="right" w:pos="9072"/>
      </w:tabs>
    </w:pPr>
  </w:style>
  <w:style w:type="character" w:customStyle="1" w:styleId="En-tteCar">
    <w:name w:val="En-tête Car"/>
    <w:basedOn w:val="Policepardfaut"/>
    <w:link w:val="En-tte"/>
    <w:uiPriority w:val="99"/>
    <w:semiHidden/>
    <w:rsid w:val="006B2074"/>
    <w:rPr>
      <w:rFonts w:ascii="Arial" w:hAnsi="Arial" w:cs="Arial"/>
      <w:sz w:val="19"/>
      <w:szCs w:val="19"/>
      <w:lang w:val="nl-NL" w:eastAsia="nl-NL"/>
    </w:rPr>
  </w:style>
  <w:style w:type="paragraph" w:styleId="Pieddepage">
    <w:name w:val="footer"/>
    <w:basedOn w:val="Normal"/>
    <w:link w:val="PieddepageCar"/>
    <w:uiPriority w:val="99"/>
    <w:rsid w:val="0086142A"/>
    <w:pPr>
      <w:tabs>
        <w:tab w:val="center" w:pos="4536"/>
        <w:tab w:val="right" w:pos="9072"/>
      </w:tabs>
    </w:pPr>
  </w:style>
  <w:style w:type="character" w:customStyle="1" w:styleId="PieddepageCar">
    <w:name w:val="Pied de page Car"/>
    <w:basedOn w:val="Policepardfaut"/>
    <w:link w:val="Pieddepage"/>
    <w:uiPriority w:val="99"/>
    <w:semiHidden/>
    <w:rsid w:val="006B2074"/>
    <w:rPr>
      <w:rFonts w:ascii="Arial" w:hAnsi="Arial" w:cs="Arial"/>
      <w:sz w:val="19"/>
      <w:szCs w:val="19"/>
      <w:lang w:val="nl-NL" w:eastAsia="nl-NL"/>
    </w:rPr>
  </w:style>
  <w:style w:type="paragraph" w:styleId="Textedebulles">
    <w:name w:val="Balloon Text"/>
    <w:basedOn w:val="Normal"/>
    <w:link w:val="TextedebullesCar"/>
    <w:uiPriority w:val="99"/>
    <w:semiHidden/>
    <w:rsid w:val="005A4C21"/>
    <w:rPr>
      <w:rFonts w:ascii="Tahoma" w:hAnsi="Tahoma" w:cs="Tahoma"/>
      <w:sz w:val="16"/>
      <w:szCs w:val="16"/>
    </w:rPr>
  </w:style>
  <w:style w:type="character" w:customStyle="1" w:styleId="TextedebullesCar">
    <w:name w:val="Texte de bulles Car"/>
    <w:basedOn w:val="Policepardfaut"/>
    <w:link w:val="Textedebulles"/>
    <w:uiPriority w:val="99"/>
    <w:semiHidden/>
    <w:rsid w:val="006B2074"/>
    <w:rPr>
      <w:rFonts w:cs="Arial"/>
      <w:sz w:val="0"/>
      <w:szCs w:val="0"/>
      <w:lang w:val="nl-NL" w:eastAsia="nl-NL"/>
    </w:rPr>
  </w:style>
  <w:style w:type="character" w:styleId="Numrodepage">
    <w:name w:val="page number"/>
    <w:basedOn w:val="Policepardfaut"/>
    <w:uiPriority w:val="99"/>
    <w:rsid w:val="000F61F4"/>
    <w:rPr>
      <w:rFonts w:cs="Times New Roman"/>
    </w:rPr>
  </w:style>
  <w:style w:type="character" w:styleId="Lienhypertexte">
    <w:name w:val="Hyperlink"/>
    <w:basedOn w:val="Policepardfaut"/>
    <w:uiPriority w:val="99"/>
    <w:rsid w:val="004009D6"/>
    <w:rPr>
      <w:rFonts w:cs="Times New Roman"/>
      <w:color w:val="0000FF"/>
      <w:u w:val="single"/>
    </w:rPr>
  </w:style>
  <w:style w:type="paragraph" w:customStyle="1" w:styleId="Paragraphedeliste1">
    <w:name w:val="Paragraphe de liste1"/>
    <w:basedOn w:val="Normal"/>
    <w:uiPriority w:val="99"/>
    <w:rsid w:val="005627AB"/>
    <w:pPr>
      <w:spacing w:after="200" w:line="276" w:lineRule="auto"/>
      <w:ind w:left="720"/>
      <w:contextualSpacing/>
    </w:pPr>
    <w:rPr>
      <w:rFonts w:ascii="Calibri" w:hAnsi="Calibri" w:cs="Times New Roman"/>
      <w:sz w:val="22"/>
      <w:szCs w:val="22"/>
      <w:lang w:val="fr-FR" w:eastAsia="en-US"/>
    </w:rPr>
  </w:style>
  <w:style w:type="paragraph" w:customStyle="1" w:styleId="Tabellenkopf">
    <w:name w:val="Tabellenkopf"/>
    <w:basedOn w:val="Corpsdetexte"/>
    <w:next w:val="Normal"/>
    <w:uiPriority w:val="99"/>
    <w:rsid w:val="009A3C71"/>
    <w:pPr>
      <w:keepNext/>
      <w:keepLines/>
      <w:suppressAutoHyphens/>
      <w:spacing w:before="120"/>
    </w:pPr>
    <w:rPr>
      <w:rFonts w:ascii="Times New Roman" w:hAnsi="Times New Roman" w:cs="Times New Roman"/>
      <w:spacing w:val="-2"/>
      <w:sz w:val="24"/>
      <w:szCs w:val="20"/>
      <w:lang w:val="de-CH" w:eastAsia="de-CH"/>
    </w:rPr>
  </w:style>
  <w:style w:type="paragraph" w:customStyle="1" w:styleId="Tabellentextrechts">
    <w:name w:val="Tabellentext rechts"/>
    <w:basedOn w:val="Normal"/>
    <w:uiPriority w:val="99"/>
    <w:rsid w:val="009A3C71"/>
    <w:pPr>
      <w:keepNext/>
      <w:keepLines/>
      <w:suppressAutoHyphens/>
      <w:spacing w:before="60" w:after="60"/>
      <w:ind w:right="113"/>
      <w:jc w:val="right"/>
    </w:pPr>
    <w:rPr>
      <w:rFonts w:ascii="Times New Roman" w:hAnsi="Times New Roman" w:cs="Times New Roman"/>
      <w:sz w:val="24"/>
      <w:szCs w:val="20"/>
      <w:lang w:val="de-CH" w:eastAsia="de-CH"/>
    </w:rPr>
  </w:style>
  <w:style w:type="paragraph" w:customStyle="1" w:styleId="Titre31">
    <w:name w:val="Titre 31"/>
    <w:basedOn w:val="Normal"/>
    <w:uiPriority w:val="99"/>
    <w:rsid w:val="009A3C71"/>
    <w:pPr>
      <w:outlineLvl w:val="3"/>
    </w:pPr>
    <w:rPr>
      <w:rFonts w:ascii="Times New Roman" w:hAnsi="Times New Roman" w:cs="Times New Roman"/>
      <w:sz w:val="27"/>
      <w:szCs w:val="27"/>
      <w:lang w:val="en-US" w:eastAsia="en-US"/>
    </w:rPr>
  </w:style>
  <w:style w:type="paragraph" w:styleId="Corpsdetexte">
    <w:name w:val="Body Text"/>
    <w:basedOn w:val="Normal"/>
    <w:link w:val="CorpsdetexteCar"/>
    <w:uiPriority w:val="99"/>
    <w:rsid w:val="009A3C71"/>
    <w:pPr>
      <w:spacing w:after="120"/>
    </w:pPr>
  </w:style>
  <w:style w:type="character" w:customStyle="1" w:styleId="CorpsdetexteCar">
    <w:name w:val="Corps de texte Car"/>
    <w:basedOn w:val="Policepardfaut"/>
    <w:link w:val="Corpsdetexte"/>
    <w:uiPriority w:val="99"/>
    <w:semiHidden/>
    <w:rsid w:val="006B2074"/>
    <w:rPr>
      <w:rFonts w:ascii="Arial" w:hAnsi="Arial" w:cs="Arial"/>
      <w:sz w:val="19"/>
      <w:szCs w:val="19"/>
      <w:lang w:val="nl-NL" w:eastAsia="nl-NL"/>
    </w:rPr>
  </w:style>
  <w:style w:type="paragraph" w:styleId="Notedebasdepage">
    <w:name w:val="footnote text"/>
    <w:basedOn w:val="Normal"/>
    <w:link w:val="NotedebasdepageCar"/>
    <w:uiPriority w:val="99"/>
    <w:semiHidden/>
    <w:rsid w:val="00671564"/>
    <w:pPr>
      <w:spacing w:before="203" w:after="203" w:line="312" w:lineRule="auto"/>
      <w:jc w:val="both"/>
    </w:pPr>
    <w:rPr>
      <w:rFonts w:ascii="Times New Roman" w:hAnsi="Times New Roman" w:cs="Times New Roman"/>
      <w:sz w:val="20"/>
      <w:szCs w:val="20"/>
      <w:lang w:val="en-GB" w:eastAsia="de-DE"/>
    </w:rPr>
  </w:style>
  <w:style w:type="character" w:customStyle="1" w:styleId="NotedebasdepageCar">
    <w:name w:val="Note de bas de page Car"/>
    <w:basedOn w:val="Policepardfaut"/>
    <w:link w:val="Notedebasdepage"/>
    <w:uiPriority w:val="99"/>
    <w:semiHidden/>
    <w:locked/>
    <w:rsid w:val="006F0441"/>
    <w:rPr>
      <w:lang w:val="en-GB"/>
    </w:rPr>
  </w:style>
  <w:style w:type="character" w:styleId="Appelnotedebasdep">
    <w:name w:val="footnote reference"/>
    <w:basedOn w:val="Policepardfaut"/>
    <w:uiPriority w:val="99"/>
    <w:semiHidden/>
    <w:rsid w:val="00671564"/>
    <w:rPr>
      <w:rFonts w:cs="Times New Roman"/>
      <w:vertAlign w:val="superscript"/>
    </w:rPr>
  </w:style>
  <w:style w:type="paragraph" w:styleId="TM1">
    <w:name w:val="toc 1"/>
    <w:basedOn w:val="Normal"/>
    <w:next w:val="Normal"/>
    <w:autoRedefine/>
    <w:uiPriority w:val="39"/>
    <w:rsid w:val="003E0466"/>
    <w:pPr>
      <w:spacing w:before="120"/>
    </w:pPr>
    <w:rPr>
      <w:rFonts w:ascii="Times New Roman" w:hAnsi="Times New Roman" w:cs="Times New Roman"/>
      <w:b/>
      <w:bCs/>
      <w:i/>
      <w:iCs/>
      <w:sz w:val="24"/>
      <w:szCs w:val="24"/>
    </w:rPr>
  </w:style>
  <w:style w:type="paragraph" w:styleId="TM2">
    <w:name w:val="toc 2"/>
    <w:basedOn w:val="Normal"/>
    <w:next w:val="Normal"/>
    <w:autoRedefine/>
    <w:uiPriority w:val="39"/>
    <w:rsid w:val="004965BB"/>
    <w:pPr>
      <w:spacing w:before="120"/>
      <w:ind w:left="190"/>
    </w:pPr>
    <w:rPr>
      <w:rFonts w:ascii="Times New Roman" w:hAnsi="Times New Roman" w:cs="Times New Roman"/>
      <w:b/>
      <w:bCs/>
      <w:sz w:val="22"/>
      <w:szCs w:val="22"/>
    </w:rPr>
  </w:style>
  <w:style w:type="paragraph" w:styleId="TM3">
    <w:name w:val="toc 3"/>
    <w:basedOn w:val="Normal"/>
    <w:next w:val="Normal"/>
    <w:autoRedefine/>
    <w:uiPriority w:val="99"/>
    <w:semiHidden/>
    <w:rsid w:val="004965BB"/>
    <w:pPr>
      <w:ind w:left="380"/>
    </w:pPr>
    <w:rPr>
      <w:rFonts w:ascii="Times New Roman" w:hAnsi="Times New Roman" w:cs="Times New Roman"/>
      <w:sz w:val="20"/>
      <w:szCs w:val="20"/>
    </w:rPr>
  </w:style>
  <w:style w:type="character" w:styleId="Marquedecommentaire">
    <w:name w:val="annotation reference"/>
    <w:basedOn w:val="Policepardfaut"/>
    <w:uiPriority w:val="99"/>
    <w:semiHidden/>
    <w:rsid w:val="00984083"/>
    <w:rPr>
      <w:rFonts w:cs="Times New Roman"/>
      <w:sz w:val="16"/>
    </w:rPr>
  </w:style>
  <w:style w:type="paragraph" w:styleId="Commentaire">
    <w:name w:val="annotation text"/>
    <w:basedOn w:val="Normal"/>
    <w:link w:val="CommentaireCar"/>
    <w:uiPriority w:val="99"/>
    <w:semiHidden/>
    <w:rsid w:val="00984083"/>
    <w:rPr>
      <w:sz w:val="20"/>
      <w:szCs w:val="20"/>
    </w:rPr>
  </w:style>
  <w:style w:type="character" w:customStyle="1" w:styleId="CommentTextChar">
    <w:name w:val="Comment Text Char"/>
    <w:basedOn w:val="Policepardfaut"/>
    <w:uiPriority w:val="99"/>
    <w:semiHidden/>
    <w:locked/>
    <w:rsid w:val="006078B4"/>
    <w:rPr>
      <w:rFonts w:ascii="Arial" w:hAnsi="Arial"/>
      <w:lang w:val="nl-NL" w:eastAsia="nl-NL"/>
    </w:rPr>
  </w:style>
  <w:style w:type="paragraph" w:styleId="Objetducommentaire">
    <w:name w:val="annotation subject"/>
    <w:basedOn w:val="Commentaire"/>
    <w:next w:val="Commentaire"/>
    <w:link w:val="ObjetducommentaireCar"/>
    <w:uiPriority w:val="99"/>
    <w:semiHidden/>
    <w:rsid w:val="00984083"/>
    <w:rPr>
      <w:b/>
      <w:bCs/>
    </w:rPr>
  </w:style>
  <w:style w:type="character" w:customStyle="1" w:styleId="ObjetducommentaireCar">
    <w:name w:val="Objet du commentaire Car"/>
    <w:basedOn w:val="CommentTextChar"/>
    <w:link w:val="Objetducommentaire"/>
    <w:uiPriority w:val="99"/>
    <w:semiHidden/>
    <w:rsid w:val="006B2074"/>
    <w:rPr>
      <w:rFonts w:ascii="Arial" w:hAnsi="Arial" w:cs="Arial"/>
      <w:b/>
      <w:bCs/>
      <w:sz w:val="20"/>
      <w:szCs w:val="20"/>
      <w:lang w:val="nl-NL" w:eastAsia="nl-NL"/>
    </w:rPr>
  </w:style>
  <w:style w:type="character" w:customStyle="1" w:styleId="apple-style-span">
    <w:name w:val="apple-style-span"/>
    <w:basedOn w:val="Policepardfaut"/>
    <w:uiPriority w:val="99"/>
    <w:rsid w:val="000F1D1D"/>
    <w:rPr>
      <w:rFonts w:cs="Times New Roman"/>
    </w:rPr>
  </w:style>
  <w:style w:type="character" w:customStyle="1" w:styleId="CommentaireCar">
    <w:name w:val="Commentaire Car"/>
    <w:link w:val="Commentaire"/>
    <w:uiPriority w:val="99"/>
    <w:semiHidden/>
    <w:locked/>
    <w:rsid w:val="003C1977"/>
    <w:rPr>
      <w:rFonts w:ascii="Arial" w:hAnsi="Arial"/>
      <w:lang w:val="nl-NL" w:eastAsia="nl-NL"/>
    </w:rPr>
  </w:style>
  <w:style w:type="paragraph" w:styleId="Lgende">
    <w:name w:val="caption"/>
    <w:basedOn w:val="Normal"/>
    <w:next w:val="Normal"/>
    <w:uiPriority w:val="99"/>
    <w:qFormat/>
    <w:rsid w:val="005D1B21"/>
    <w:rPr>
      <w:b/>
      <w:bCs/>
      <w:sz w:val="20"/>
      <w:szCs w:val="20"/>
    </w:rPr>
  </w:style>
  <w:style w:type="paragraph" w:customStyle="1" w:styleId="ListeANumros">
    <w:name w:val="ListeANuméros"/>
    <w:basedOn w:val="Normal"/>
    <w:uiPriority w:val="99"/>
    <w:rsid w:val="003143D4"/>
    <w:pPr>
      <w:numPr>
        <w:numId w:val="4"/>
      </w:numPr>
    </w:pPr>
    <w:rPr>
      <w:color w:val="0000FF"/>
      <w:sz w:val="20"/>
      <w:lang w:val="en-GB"/>
    </w:rPr>
  </w:style>
  <w:style w:type="paragraph" w:customStyle="1" w:styleId="ListeAPuces">
    <w:name w:val="ListeAPuces"/>
    <w:basedOn w:val="Normal"/>
    <w:uiPriority w:val="99"/>
    <w:rsid w:val="003143D4"/>
    <w:pPr>
      <w:numPr>
        <w:numId w:val="5"/>
      </w:numPr>
    </w:pPr>
    <w:rPr>
      <w:color w:val="0000FF"/>
      <w:sz w:val="20"/>
      <w:lang w:val="en-GB"/>
    </w:rPr>
  </w:style>
  <w:style w:type="paragraph" w:customStyle="1" w:styleId="ListeAPuces2">
    <w:name w:val="ListeAPuces2"/>
    <w:basedOn w:val="Normal"/>
    <w:uiPriority w:val="99"/>
    <w:rsid w:val="003143D4"/>
    <w:pPr>
      <w:ind w:left="567" w:hanging="227"/>
    </w:pPr>
    <w:rPr>
      <w:color w:val="0000FF"/>
      <w:sz w:val="20"/>
      <w:lang w:val="en-GB"/>
    </w:rPr>
  </w:style>
  <w:style w:type="paragraph" w:styleId="NormalWeb">
    <w:name w:val="Normal (Web)"/>
    <w:basedOn w:val="Normal"/>
    <w:uiPriority w:val="99"/>
    <w:rsid w:val="00857FBB"/>
    <w:pPr>
      <w:spacing w:before="100" w:beforeAutospacing="1" w:after="100" w:afterAutospacing="1"/>
    </w:pPr>
    <w:rPr>
      <w:rFonts w:ascii="Times New Roman" w:hAnsi="Times New Roman" w:cs="Times New Roman"/>
      <w:sz w:val="24"/>
      <w:szCs w:val="24"/>
      <w:lang w:val="fr-FR" w:eastAsia="fr-FR"/>
    </w:rPr>
  </w:style>
  <w:style w:type="character" w:customStyle="1" w:styleId="apple-converted-space">
    <w:name w:val="apple-converted-space"/>
    <w:basedOn w:val="Policepardfaut"/>
    <w:uiPriority w:val="99"/>
    <w:rsid w:val="00857FBB"/>
    <w:rPr>
      <w:rFonts w:cs="Times New Roman"/>
    </w:rPr>
  </w:style>
  <w:style w:type="paragraph" w:styleId="Explorateurdedocuments">
    <w:name w:val="Document Map"/>
    <w:basedOn w:val="Normal"/>
    <w:link w:val="ExplorateurdedocumentsCar"/>
    <w:uiPriority w:val="99"/>
    <w:semiHidden/>
    <w:rsid w:val="00C86D6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6B2074"/>
    <w:rPr>
      <w:rFonts w:cs="Arial"/>
      <w:sz w:val="0"/>
      <w:szCs w:val="0"/>
      <w:lang w:val="nl-NL" w:eastAsia="nl-NL"/>
    </w:rPr>
  </w:style>
  <w:style w:type="paragraph" w:styleId="Tabledesillustrations">
    <w:name w:val="table of figures"/>
    <w:basedOn w:val="Normal"/>
    <w:next w:val="Normal"/>
    <w:uiPriority w:val="99"/>
    <w:semiHidden/>
    <w:rsid w:val="00B7034F"/>
    <w:rPr>
      <w:rFonts w:ascii="Times New Roman" w:hAnsi="Times New Roman" w:cs="Times New Roman"/>
      <w:i/>
      <w:iCs/>
      <w:sz w:val="20"/>
      <w:szCs w:val="20"/>
    </w:rPr>
  </w:style>
  <w:style w:type="paragraph" w:styleId="TM4">
    <w:name w:val="toc 4"/>
    <w:basedOn w:val="Normal"/>
    <w:next w:val="Normal"/>
    <w:autoRedefine/>
    <w:uiPriority w:val="99"/>
    <w:semiHidden/>
    <w:rsid w:val="003961E5"/>
    <w:pPr>
      <w:ind w:left="570"/>
    </w:pPr>
    <w:rPr>
      <w:rFonts w:ascii="Times New Roman" w:hAnsi="Times New Roman" w:cs="Times New Roman"/>
      <w:sz w:val="20"/>
      <w:szCs w:val="20"/>
    </w:rPr>
  </w:style>
  <w:style w:type="paragraph" w:styleId="TM5">
    <w:name w:val="toc 5"/>
    <w:basedOn w:val="Normal"/>
    <w:next w:val="Normal"/>
    <w:autoRedefine/>
    <w:uiPriority w:val="99"/>
    <w:semiHidden/>
    <w:rsid w:val="003961E5"/>
    <w:pPr>
      <w:ind w:left="760"/>
    </w:pPr>
    <w:rPr>
      <w:rFonts w:ascii="Times New Roman" w:hAnsi="Times New Roman" w:cs="Times New Roman"/>
      <w:sz w:val="20"/>
      <w:szCs w:val="20"/>
    </w:rPr>
  </w:style>
  <w:style w:type="paragraph" w:styleId="TM6">
    <w:name w:val="toc 6"/>
    <w:basedOn w:val="Normal"/>
    <w:next w:val="Normal"/>
    <w:autoRedefine/>
    <w:uiPriority w:val="99"/>
    <w:semiHidden/>
    <w:rsid w:val="003961E5"/>
    <w:pPr>
      <w:ind w:left="950"/>
    </w:pPr>
    <w:rPr>
      <w:rFonts w:ascii="Times New Roman" w:hAnsi="Times New Roman" w:cs="Times New Roman"/>
      <w:sz w:val="20"/>
      <w:szCs w:val="20"/>
    </w:rPr>
  </w:style>
  <w:style w:type="paragraph" w:styleId="TM7">
    <w:name w:val="toc 7"/>
    <w:basedOn w:val="Normal"/>
    <w:next w:val="Normal"/>
    <w:autoRedefine/>
    <w:uiPriority w:val="99"/>
    <w:semiHidden/>
    <w:rsid w:val="003961E5"/>
    <w:pPr>
      <w:ind w:left="1140"/>
    </w:pPr>
    <w:rPr>
      <w:rFonts w:ascii="Times New Roman" w:hAnsi="Times New Roman" w:cs="Times New Roman"/>
      <w:sz w:val="20"/>
      <w:szCs w:val="20"/>
    </w:rPr>
  </w:style>
  <w:style w:type="paragraph" w:styleId="TM8">
    <w:name w:val="toc 8"/>
    <w:basedOn w:val="Normal"/>
    <w:next w:val="Normal"/>
    <w:autoRedefine/>
    <w:uiPriority w:val="99"/>
    <w:semiHidden/>
    <w:rsid w:val="003961E5"/>
    <w:pPr>
      <w:ind w:left="1330"/>
    </w:pPr>
    <w:rPr>
      <w:rFonts w:ascii="Times New Roman" w:hAnsi="Times New Roman" w:cs="Times New Roman"/>
      <w:sz w:val="20"/>
      <w:szCs w:val="20"/>
    </w:rPr>
  </w:style>
  <w:style w:type="paragraph" w:styleId="TM9">
    <w:name w:val="toc 9"/>
    <w:basedOn w:val="Normal"/>
    <w:next w:val="Normal"/>
    <w:autoRedefine/>
    <w:uiPriority w:val="99"/>
    <w:semiHidden/>
    <w:rsid w:val="003961E5"/>
    <w:pPr>
      <w:ind w:left="1520"/>
    </w:pPr>
    <w:rPr>
      <w:rFonts w:ascii="Times New Roman" w:hAnsi="Times New Roman" w:cs="Times New Roman"/>
      <w:sz w:val="20"/>
      <w:szCs w:val="20"/>
    </w:rPr>
  </w:style>
  <w:style w:type="paragraph" w:customStyle="1" w:styleId="Paragraphedeliste2">
    <w:name w:val="Paragraphe de liste2"/>
    <w:basedOn w:val="Normal"/>
    <w:uiPriority w:val="99"/>
    <w:rsid w:val="000E6598"/>
    <w:pPr>
      <w:ind w:left="708"/>
    </w:pPr>
  </w:style>
  <w:style w:type="paragraph" w:styleId="Paragraphedeliste">
    <w:name w:val="List Paragraph"/>
    <w:basedOn w:val="Normal"/>
    <w:uiPriority w:val="34"/>
    <w:qFormat/>
    <w:rsid w:val="00D74576"/>
    <w:pPr>
      <w:ind w:left="720"/>
      <w:contextualSpacing/>
    </w:pPr>
  </w:style>
  <w:style w:type="paragraph" w:customStyle="1" w:styleId="CM1">
    <w:name w:val="CM1"/>
    <w:basedOn w:val="Normal"/>
    <w:next w:val="Normal"/>
    <w:uiPriority w:val="99"/>
    <w:rsid w:val="00E6071B"/>
    <w:pPr>
      <w:autoSpaceDE w:val="0"/>
      <w:autoSpaceDN w:val="0"/>
      <w:adjustRightInd w:val="0"/>
    </w:pPr>
    <w:rPr>
      <w:rFonts w:ascii="EUAlbertina" w:hAnsi="EUAlbertina" w:cs="Times New Roman"/>
      <w:sz w:val="24"/>
      <w:szCs w:val="24"/>
      <w:lang w:val="pl-PL" w:eastAsia="de-DE"/>
    </w:rPr>
  </w:style>
  <w:style w:type="paragraph" w:customStyle="1" w:styleId="CM4">
    <w:name w:val="CM4"/>
    <w:basedOn w:val="Normal"/>
    <w:next w:val="Normal"/>
    <w:uiPriority w:val="99"/>
    <w:rsid w:val="00E6071B"/>
    <w:pPr>
      <w:autoSpaceDE w:val="0"/>
      <w:autoSpaceDN w:val="0"/>
      <w:adjustRightInd w:val="0"/>
    </w:pPr>
    <w:rPr>
      <w:rFonts w:ascii="EUAlbertina" w:hAnsi="EUAlbertina" w:cs="Times New Roman"/>
      <w:sz w:val="24"/>
      <w:szCs w:val="24"/>
      <w:lang w:val="pl-PL" w:eastAsia="de-DE"/>
    </w:rPr>
  </w:style>
  <w:style w:type="paragraph" w:styleId="Rvision">
    <w:name w:val="Revision"/>
    <w:hidden/>
    <w:uiPriority w:val="99"/>
    <w:semiHidden/>
    <w:rsid w:val="009064E5"/>
    <w:rPr>
      <w:rFonts w:ascii="Arial" w:hAnsi="Arial" w:cs="Arial"/>
      <w:sz w:val="19"/>
      <w:szCs w:val="19"/>
      <w:lang w:val="nl-NL" w:eastAsia="nl-NL"/>
    </w:rPr>
  </w:style>
  <w:style w:type="character" w:customStyle="1" w:styleId="shorttext">
    <w:name w:val="short_text"/>
    <w:basedOn w:val="Policepardfaut"/>
    <w:rsid w:val="002B64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DC"/>
    <w:rPr>
      <w:rFonts w:ascii="Arial" w:hAnsi="Arial" w:cs="Arial"/>
      <w:sz w:val="19"/>
      <w:szCs w:val="19"/>
      <w:lang w:val="nl-NL" w:eastAsia="nl-NL"/>
    </w:rPr>
  </w:style>
  <w:style w:type="paragraph" w:styleId="Titre1">
    <w:name w:val="heading 1"/>
    <w:basedOn w:val="Normal"/>
    <w:next w:val="Normal"/>
    <w:link w:val="Titre1Car"/>
    <w:uiPriority w:val="99"/>
    <w:qFormat/>
    <w:rsid w:val="00C140DC"/>
    <w:pPr>
      <w:keepNext/>
      <w:numPr>
        <w:numId w:val="1"/>
      </w:numPr>
      <w:spacing w:before="240" w:after="60"/>
      <w:outlineLvl w:val="0"/>
    </w:pPr>
    <w:rPr>
      <w:b/>
      <w:bCs/>
      <w:kern w:val="32"/>
      <w:sz w:val="48"/>
      <w:szCs w:val="48"/>
    </w:rPr>
  </w:style>
  <w:style w:type="paragraph" w:styleId="Titre2">
    <w:name w:val="heading 2"/>
    <w:basedOn w:val="Normal"/>
    <w:next w:val="Normal"/>
    <w:link w:val="Titre2Car"/>
    <w:uiPriority w:val="99"/>
    <w:qFormat/>
    <w:rsid w:val="00C140DC"/>
    <w:pPr>
      <w:keepNext/>
      <w:numPr>
        <w:ilvl w:val="1"/>
        <w:numId w:val="1"/>
      </w:numPr>
      <w:spacing w:before="240" w:after="60"/>
      <w:jc w:val="center"/>
      <w:outlineLvl w:val="1"/>
    </w:pPr>
    <w:rPr>
      <w:b/>
      <w:bCs/>
      <w:i/>
      <w:iCs/>
      <w:sz w:val="28"/>
      <w:szCs w:val="28"/>
    </w:rPr>
  </w:style>
  <w:style w:type="paragraph" w:styleId="Titre3">
    <w:name w:val="heading 3"/>
    <w:basedOn w:val="Normal"/>
    <w:next w:val="Normal"/>
    <w:link w:val="Titre3Car"/>
    <w:uiPriority w:val="99"/>
    <w:qFormat/>
    <w:rsid w:val="00C140DC"/>
    <w:pPr>
      <w:keepNext/>
      <w:numPr>
        <w:ilvl w:val="2"/>
        <w:numId w:val="1"/>
      </w:numPr>
      <w:spacing w:before="60" w:after="60"/>
      <w:outlineLvl w:val="2"/>
    </w:pPr>
    <w:rPr>
      <w:b/>
      <w:bCs/>
      <w:sz w:val="20"/>
      <w:szCs w:val="20"/>
    </w:rPr>
  </w:style>
  <w:style w:type="paragraph" w:styleId="Titre4">
    <w:name w:val="heading 4"/>
    <w:basedOn w:val="Normal"/>
    <w:next w:val="Normal"/>
    <w:link w:val="Titre4Car"/>
    <w:uiPriority w:val="99"/>
    <w:qFormat/>
    <w:rsid w:val="00DE7CAA"/>
    <w:pPr>
      <w:keepNext/>
      <w:numPr>
        <w:ilvl w:val="3"/>
        <w:numId w:val="1"/>
      </w:numPr>
      <w:spacing w:before="240" w:after="60"/>
      <w:outlineLvl w:val="3"/>
    </w:pPr>
    <w:rPr>
      <w:rFonts w:ascii="Times New Roman" w:hAnsi="Times New Roman" w:cs="Times New Roman"/>
      <w:b/>
      <w:bCs/>
      <w:sz w:val="28"/>
      <w:szCs w:val="28"/>
    </w:rPr>
  </w:style>
  <w:style w:type="paragraph" w:styleId="Titre8">
    <w:name w:val="heading 8"/>
    <w:basedOn w:val="Normal"/>
    <w:next w:val="Normal"/>
    <w:link w:val="Titre8Car"/>
    <w:uiPriority w:val="99"/>
    <w:qFormat/>
    <w:rsid w:val="00DE7CAA"/>
    <w:pPr>
      <w:numPr>
        <w:ilvl w:val="7"/>
        <w:numId w:val="1"/>
      </w:numPr>
      <w:spacing w:before="240" w:after="60"/>
      <w:outlineLvl w:val="7"/>
    </w:pPr>
    <w:rPr>
      <w:rFonts w:ascii="Times New Roman" w:hAnsi="Times New Roman"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B2074"/>
    <w:rPr>
      <w:rFonts w:ascii="Arial" w:hAnsi="Arial" w:cs="Arial"/>
      <w:b/>
      <w:bCs/>
      <w:kern w:val="32"/>
      <w:sz w:val="48"/>
      <w:szCs w:val="48"/>
      <w:lang w:val="nl-NL" w:eastAsia="nl-NL"/>
    </w:rPr>
  </w:style>
  <w:style w:type="character" w:customStyle="1" w:styleId="Titre2Car">
    <w:name w:val="Titre 2 Car"/>
    <w:basedOn w:val="Policepardfaut"/>
    <w:link w:val="Titre2"/>
    <w:uiPriority w:val="99"/>
    <w:rsid w:val="006B2074"/>
    <w:rPr>
      <w:rFonts w:ascii="Arial" w:hAnsi="Arial" w:cs="Arial"/>
      <w:b/>
      <w:bCs/>
      <w:i/>
      <w:iCs/>
      <w:sz w:val="28"/>
      <w:szCs w:val="28"/>
      <w:lang w:val="nl-NL" w:eastAsia="nl-NL"/>
    </w:rPr>
  </w:style>
  <w:style w:type="character" w:customStyle="1" w:styleId="Titre3Car">
    <w:name w:val="Titre 3 Car"/>
    <w:basedOn w:val="Policepardfaut"/>
    <w:link w:val="Titre3"/>
    <w:uiPriority w:val="99"/>
    <w:rsid w:val="006B2074"/>
    <w:rPr>
      <w:rFonts w:ascii="Arial" w:hAnsi="Arial" w:cs="Arial"/>
      <w:b/>
      <w:bCs/>
      <w:sz w:val="20"/>
      <w:szCs w:val="20"/>
      <w:lang w:val="nl-NL" w:eastAsia="nl-NL"/>
    </w:rPr>
  </w:style>
  <w:style w:type="character" w:customStyle="1" w:styleId="Titre4Car">
    <w:name w:val="Titre 4 Car"/>
    <w:basedOn w:val="Policepardfaut"/>
    <w:link w:val="Titre4"/>
    <w:uiPriority w:val="99"/>
    <w:rsid w:val="006B2074"/>
    <w:rPr>
      <w:b/>
      <w:bCs/>
      <w:sz w:val="28"/>
      <w:szCs w:val="28"/>
      <w:lang w:val="nl-NL" w:eastAsia="nl-NL"/>
    </w:rPr>
  </w:style>
  <w:style w:type="character" w:customStyle="1" w:styleId="Titre8Car">
    <w:name w:val="Titre 8 Car"/>
    <w:basedOn w:val="Policepardfaut"/>
    <w:link w:val="Titre8"/>
    <w:uiPriority w:val="99"/>
    <w:rsid w:val="006B2074"/>
    <w:rPr>
      <w:i/>
      <w:iCs/>
      <w:sz w:val="24"/>
      <w:szCs w:val="24"/>
      <w:lang w:val="nl-NL" w:eastAsia="nl-NL"/>
    </w:rPr>
  </w:style>
  <w:style w:type="paragraph" w:customStyle="1" w:styleId="Veldtekst">
    <w:name w:val="Veldtekst"/>
    <w:basedOn w:val="Normal"/>
    <w:uiPriority w:val="99"/>
    <w:rsid w:val="00C140DC"/>
    <w:pPr>
      <w:spacing w:before="60" w:after="60"/>
    </w:pPr>
  </w:style>
  <w:style w:type="paragraph" w:customStyle="1" w:styleId="Veldlabel">
    <w:name w:val="Veldlabel"/>
    <w:basedOn w:val="Normal"/>
    <w:uiPriority w:val="99"/>
    <w:rsid w:val="00C140DC"/>
    <w:pPr>
      <w:spacing w:before="60" w:after="60"/>
    </w:pPr>
    <w:rPr>
      <w:b/>
    </w:rPr>
  </w:style>
  <w:style w:type="paragraph" w:customStyle="1" w:styleId="Informatieoververgadering">
    <w:name w:val="Informatie over vergadering"/>
    <w:basedOn w:val="Veldtekst"/>
    <w:uiPriority w:val="99"/>
    <w:rsid w:val="00C140DC"/>
    <w:pPr>
      <w:spacing w:before="0" w:after="0"/>
      <w:ind w:left="990"/>
      <w:jc w:val="right"/>
    </w:pPr>
    <w:rPr>
      <w:b/>
    </w:rPr>
  </w:style>
  <w:style w:type="paragraph" w:customStyle="1" w:styleId="Actiepunt">
    <w:name w:val="Actiepunt"/>
    <w:basedOn w:val="Normal"/>
    <w:uiPriority w:val="99"/>
    <w:rsid w:val="00C140DC"/>
    <w:pPr>
      <w:tabs>
        <w:tab w:val="num" w:pos="360"/>
        <w:tab w:val="left" w:pos="5040"/>
      </w:tabs>
      <w:spacing w:before="60" w:after="60"/>
      <w:ind w:left="360" w:hanging="360"/>
    </w:pPr>
  </w:style>
  <w:style w:type="table" w:customStyle="1" w:styleId="Standaardtabel1">
    <w:name w:val="Standaardtabel1"/>
    <w:uiPriority w:val="99"/>
    <w:semiHidden/>
    <w:rsid w:val="00C140DC"/>
    <w:rPr>
      <w:sz w:val="20"/>
      <w:szCs w:val="20"/>
      <w:lang w:val="nl-NL" w:eastAsia="nl-NL"/>
    </w:rPr>
    <w:tblPr>
      <w:tblCellMar>
        <w:top w:w="0" w:type="dxa"/>
        <w:left w:w="108" w:type="dxa"/>
        <w:bottom w:w="0" w:type="dxa"/>
        <w:right w:w="108" w:type="dxa"/>
      </w:tblCellMar>
    </w:tblPr>
  </w:style>
  <w:style w:type="table" w:styleId="Grilledutableau">
    <w:name w:val="Table Grid"/>
    <w:basedOn w:val="TableauNormal"/>
    <w:uiPriority w:val="59"/>
    <w:rsid w:val="002134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86142A"/>
    <w:pPr>
      <w:tabs>
        <w:tab w:val="center" w:pos="4536"/>
        <w:tab w:val="right" w:pos="9072"/>
      </w:tabs>
    </w:pPr>
  </w:style>
  <w:style w:type="character" w:customStyle="1" w:styleId="En-tteCar">
    <w:name w:val="En-tête Car"/>
    <w:basedOn w:val="Policepardfaut"/>
    <w:link w:val="En-tte"/>
    <w:uiPriority w:val="99"/>
    <w:semiHidden/>
    <w:rsid w:val="006B2074"/>
    <w:rPr>
      <w:rFonts w:ascii="Arial" w:hAnsi="Arial" w:cs="Arial"/>
      <w:sz w:val="19"/>
      <w:szCs w:val="19"/>
      <w:lang w:val="nl-NL" w:eastAsia="nl-NL"/>
    </w:rPr>
  </w:style>
  <w:style w:type="paragraph" w:styleId="Pieddepage">
    <w:name w:val="footer"/>
    <w:basedOn w:val="Normal"/>
    <w:link w:val="PieddepageCar"/>
    <w:uiPriority w:val="99"/>
    <w:rsid w:val="0086142A"/>
    <w:pPr>
      <w:tabs>
        <w:tab w:val="center" w:pos="4536"/>
        <w:tab w:val="right" w:pos="9072"/>
      </w:tabs>
    </w:pPr>
  </w:style>
  <w:style w:type="character" w:customStyle="1" w:styleId="PieddepageCar">
    <w:name w:val="Pied de page Car"/>
    <w:basedOn w:val="Policepardfaut"/>
    <w:link w:val="Pieddepage"/>
    <w:uiPriority w:val="99"/>
    <w:semiHidden/>
    <w:rsid w:val="006B2074"/>
    <w:rPr>
      <w:rFonts w:ascii="Arial" w:hAnsi="Arial" w:cs="Arial"/>
      <w:sz w:val="19"/>
      <w:szCs w:val="19"/>
      <w:lang w:val="nl-NL" w:eastAsia="nl-NL"/>
    </w:rPr>
  </w:style>
  <w:style w:type="paragraph" w:styleId="Textedebulles">
    <w:name w:val="Balloon Text"/>
    <w:basedOn w:val="Normal"/>
    <w:link w:val="TextedebullesCar"/>
    <w:uiPriority w:val="99"/>
    <w:semiHidden/>
    <w:rsid w:val="005A4C21"/>
    <w:rPr>
      <w:rFonts w:ascii="Tahoma" w:hAnsi="Tahoma" w:cs="Tahoma"/>
      <w:sz w:val="16"/>
      <w:szCs w:val="16"/>
    </w:rPr>
  </w:style>
  <w:style w:type="character" w:customStyle="1" w:styleId="TextedebullesCar">
    <w:name w:val="Texte de bulles Car"/>
    <w:basedOn w:val="Policepardfaut"/>
    <w:link w:val="Textedebulles"/>
    <w:uiPriority w:val="99"/>
    <w:semiHidden/>
    <w:rsid w:val="006B2074"/>
    <w:rPr>
      <w:rFonts w:cs="Arial"/>
      <w:sz w:val="0"/>
      <w:szCs w:val="0"/>
      <w:lang w:val="nl-NL" w:eastAsia="nl-NL"/>
    </w:rPr>
  </w:style>
  <w:style w:type="character" w:styleId="Numrodepage">
    <w:name w:val="page number"/>
    <w:basedOn w:val="Policepardfaut"/>
    <w:uiPriority w:val="99"/>
    <w:rsid w:val="000F61F4"/>
    <w:rPr>
      <w:rFonts w:cs="Times New Roman"/>
    </w:rPr>
  </w:style>
  <w:style w:type="character" w:styleId="Lienhypertexte">
    <w:name w:val="Hyperlink"/>
    <w:basedOn w:val="Policepardfaut"/>
    <w:uiPriority w:val="99"/>
    <w:rsid w:val="004009D6"/>
    <w:rPr>
      <w:rFonts w:cs="Times New Roman"/>
      <w:color w:val="0000FF"/>
      <w:u w:val="single"/>
    </w:rPr>
  </w:style>
  <w:style w:type="paragraph" w:customStyle="1" w:styleId="Paragraphedeliste1">
    <w:name w:val="Paragraphe de liste1"/>
    <w:basedOn w:val="Normal"/>
    <w:uiPriority w:val="99"/>
    <w:rsid w:val="005627AB"/>
    <w:pPr>
      <w:spacing w:after="200" w:line="276" w:lineRule="auto"/>
      <w:ind w:left="720"/>
      <w:contextualSpacing/>
    </w:pPr>
    <w:rPr>
      <w:rFonts w:ascii="Calibri" w:hAnsi="Calibri" w:cs="Times New Roman"/>
      <w:sz w:val="22"/>
      <w:szCs w:val="22"/>
      <w:lang w:val="fr-FR" w:eastAsia="en-US"/>
    </w:rPr>
  </w:style>
  <w:style w:type="paragraph" w:customStyle="1" w:styleId="Tabellenkopf">
    <w:name w:val="Tabellenkopf"/>
    <w:basedOn w:val="Corpsdetexte"/>
    <w:next w:val="Normal"/>
    <w:uiPriority w:val="99"/>
    <w:rsid w:val="009A3C71"/>
    <w:pPr>
      <w:keepNext/>
      <w:keepLines/>
      <w:suppressAutoHyphens/>
      <w:spacing w:before="120"/>
    </w:pPr>
    <w:rPr>
      <w:rFonts w:ascii="Times New Roman" w:hAnsi="Times New Roman" w:cs="Times New Roman"/>
      <w:spacing w:val="-2"/>
      <w:sz w:val="24"/>
      <w:szCs w:val="20"/>
      <w:lang w:val="de-CH" w:eastAsia="de-CH"/>
    </w:rPr>
  </w:style>
  <w:style w:type="paragraph" w:customStyle="1" w:styleId="Tabellentextrechts">
    <w:name w:val="Tabellentext rechts"/>
    <w:basedOn w:val="Normal"/>
    <w:uiPriority w:val="99"/>
    <w:rsid w:val="009A3C71"/>
    <w:pPr>
      <w:keepNext/>
      <w:keepLines/>
      <w:suppressAutoHyphens/>
      <w:spacing w:before="60" w:after="60"/>
      <w:ind w:right="113"/>
      <w:jc w:val="right"/>
    </w:pPr>
    <w:rPr>
      <w:rFonts w:ascii="Times New Roman" w:hAnsi="Times New Roman" w:cs="Times New Roman"/>
      <w:sz w:val="24"/>
      <w:szCs w:val="20"/>
      <w:lang w:val="de-CH" w:eastAsia="de-CH"/>
    </w:rPr>
  </w:style>
  <w:style w:type="paragraph" w:customStyle="1" w:styleId="Titre31">
    <w:name w:val="Titre 31"/>
    <w:basedOn w:val="Normal"/>
    <w:uiPriority w:val="99"/>
    <w:rsid w:val="009A3C71"/>
    <w:pPr>
      <w:outlineLvl w:val="3"/>
    </w:pPr>
    <w:rPr>
      <w:rFonts w:ascii="Times New Roman" w:hAnsi="Times New Roman" w:cs="Times New Roman"/>
      <w:sz w:val="27"/>
      <w:szCs w:val="27"/>
      <w:lang w:val="en-US" w:eastAsia="en-US"/>
    </w:rPr>
  </w:style>
  <w:style w:type="paragraph" w:styleId="Corpsdetexte">
    <w:name w:val="Body Text"/>
    <w:basedOn w:val="Normal"/>
    <w:link w:val="CorpsdetexteCar"/>
    <w:uiPriority w:val="99"/>
    <w:rsid w:val="009A3C71"/>
    <w:pPr>
      <w:spacing w:after="120"/>
    </w:pPr>
  </w:style>
  <w:style w:type="character" w:customStyle="1" w:styleId="CorpsdetexteCar">
    <w:name w:val="Corps de texte Car"/>
    <w:basedOn w:val="Policepardfaut"/>
    <w:link w:val="Corpsdetexte"/>
    <w:uiPriority w:val="99"/>
    <w:semiHidden/>
    <w:rsid w:val="006B2074"/>
    <w:rPr>
      <w:rFonts w:ascii="Arial" w:hAnsi="Arial" w:cs="Arial"/>
      <w:sz w:val="19"/>
      <w:szCs w:val="19"/>
      <w:lang w:val="nl-NL" w:eastAsia="nl-NL"/>
    </w:rPr>
  </w:style>
  <w:style w:type="paragraph" w:styleId="Notedebasdepage">
    <w:name w:val="footnote text"/>
    <w:basedOn w:val="Normal"/>
    <w:link w:val="NotedebasdepageCar"/>
    <w:uiPriority w:val="99"/>
    <w:semiHidden/>
    <w:rsid w:val="00671564"/>
    <w:pPr>
      <w:spacing w:before="203" w:after="203" w:line="312" w:lineRule="auto"/>
      <w:jc w:val="both"/>
    </w:pPr>
    <w:rPr>
      <w:rFonts w:ascii="Times New Roman" w:hAnsi="Times New Roman" w:cs="Times New Roman"/>
      <w:sz w:val="20"/>
      <w:szCs w:val="20"/>
      <w:lang w:val="en-GB" w:eastAsia="de-DE"/>
    </w:rPr>
  </w:style>
  <w:style w:type="character" w:customStyle="1" w:styleId="NotedebasdepageCar">
    <w:name w:val="Note de bas de page Car"/>
    <w:basedOn w:val="Policepardfaut"/>
    <w:link w:val="Notedebasdepage"/>
    <w:uiPriority w:val="99"/>
    <w:semiHidden/>
    <w:locked/>
    <w:rsid w:val="006F0441"/>
    <w:rPr>
      <w:lang w:val="en-GB"/>
    </w:rPr>
  </w:style>
  <w:style w:type="character" w:styleId="Appelnotedebasdep">
    <w:name w:val="footnote reference"/>
    <w:basedOn w:val="Policepardfaut"/>
    <w:uiPriority w:val="99"/>
    <w:semiHidden/>
    <w:rsid w:val="00671564"/>
    <w:rPr>
      <w:rFonts w:cs="Times New Roman"/>
      <w:vertAlign w:val="superscript"/>
    </w:rPr>
  </w:style>
  <w:style w:type="paragraph" w:styleId="TM1">
    <w:name w:val="toc 1"/>
    <w:basedOn w:val="Normal"/>
    <w:next w:val="Normal"/>
    <w:autoRedefine/>
    <w:uiPriority w:val="39"/>
    <w:rsid w:val="003E0466"/>
    <w:pPr>
      <w:spacing w:before="120"/>
    </w:pPr>
    <w:rPr>
      <w:rFonts w:ascii="Times New Roman" w:hAnsi="Times New Roman" w:cs="Times New Roman"/>
      <w:b/>
      <w:bCs/>
      <w:i/>
      <w:iCs/>
      <w:sz w:val="24"/>
      <w:szCs w:val="24"/>
    </w:rPr>
  </w:style>
  <w:style w:type="paragraph" w:styleId="TM2">
    <w:name w:val="toc 2"/>
    <w:basedOn w:val="Normal"/>
    <w:next w:val="Normal"/>
    <w:autoRedefine/>
    <w:uiPriority w:val="39"/>
    <w:rsid w:val="004965BB"/>
    <w:pPr>
      <w:spacing w:before="120"/>
      <w:ind w:left="190"/>
    </w:pPr>
    <w:rPr>
      <w:rFonts w:ascii="Times New Roman" w:hAnsi="Times New Roman" w:cs="Times New Roman"/>
      <w:b/>
      <w:bCs/>
      <w:sz w:val="22"/>
      <w:szCs w:val="22"/>
    </w:rPr>
  </w:style>
  <w:style w:type="paragraph" w:styleId="TM3">
    <w:name w:val="toc 3"/>
    <w:basedOn w:val="Normal"/>
    <w:next w:val="Normal"/>
    <w:autoRedefine/>
    <w:uiPriority w:val="99"/>
    <w:semiHidden/>
    <w:rsid w:val="004965BB"/>
    <w:pPr>
      <w:ind w:left="380"/>
    </w:pPr>
    <w:rPr>
      <w:rFonts w:ascii="Times New Roman" w:hAnsi="Times New Roman" w:cs="Times New Roman"/>
      <w:sz w:val="20"/>
      <w:szCs w:val="20"/>
    </w:rPr>
  </w:style>
  <w:style w:type="character" w:styleId="Marquedecommentaire">
    <w:name w:val="annotation reference"/>
    <w:basedOn w:val="Policepardfaut"/>
    <w:uiPriority w:val="99"/>
    <w:semiHidden/>
    <w:rsid w:val="00984083"/>
    <w:rPr>
      <w:rFonts w:cs="Times New Roman"/>
      <w:sz w:val="16"/>
    </w:rPr>
  </w:style>
  <w:style w:type="paragraph" w:styleId="Commentaire">
    <w:name w:val="annotation text"/>
    <w:basedOn w:val="Normal"/>
    <w:link w:val="CommentaireCar"/>
    <w:uiPriority w:val="99"/>
    <w:semiHidden/>
    <w:rsid w:val="00984083"/>
    <w:rPr>
      <w:sz w:val="20"/>
      <w:szCs w:val="20"/>
    </w:rPr>
  </w:style>
  <w:style w:type="character" w:customStyle="1" w:styleId="CommentTextChar">
    <w:name w:val="Comment Text Char"/>
    <w:basedOn w:val="Policepardfaut"/>
    <w:uiPriority w:val="99"/>
    <w:semiHidden/>
    <w:locked/>
    <w:rsid w:val="006078B4"/>
    <w:rPr>
      <w:rFonts w:ascii="Arial" w:hAnsi="Arial"/>
      <w:lang w:val="nl-NL" w:eastAsia="nl-NL"/>
    </w:rPr>
  </w:style>
  <w:style w:type="paragraph" w:styleId="Objetducommentaire">
    <w:name w:val="annotation subject"/>
    <w:basedOn w:val="Commentaire"/>
    <w:next w:val="Commentaire"/>
    <w:link w:val="ObjetducommentaireCar"/>
    <w:uiPriority w:val="99"/>
    <w:semiHidden/>
    <w:rsid w:val="00984083"/>
    <w:rPr>
      <w:b/>
      <w:bCs/>
    </w:rPr>
  </w:style>
  <w:style w:type="character" w:customStyle="1" w:styleId="ObjetducommentaireCar">
    <w:name w:val="Objet du commentaire Car"/>
    <w:basedOn w:val="CommentTextChar"/>
    <w:link w:val="Objetducommentaire"/>
    <w:uiPriority w:val="99"/>
    <w:semiHidden/>
    <w:rsid w:val="006B2074"/>
    <w:rPr>
      <w:rFonts w:ascii="Arial" w:hAnsi="Arial" w:cs="Arial"/>
      <w:b/>
      <w:bCs/>
      <w:sz w:val="20"/>
      <w:szCs w:val="20"/>
      <w:lang w:val="nl-NL" w:eastAsia="nl-NL"/>
    </w:rPr>
  </w:style>
  <w:style w:type="character" w:customStyle="1" w:styleId="apple-style-span">
    <w:name w:val="apple-style-span"/>
    <w:basedOn w:val="Policepardfaut"/>
    <w:uiPriority w:val="99"/>
    <w:rsid w:val="000F1D1D"/>
    <w:rPr>
      <w:rFonts w:cs="Times New Roman"/>
    </w:rPr>
  </w:style>
  <w:style w:type="character" w:customStyle="1" w:styleId="CommentaireCar">
    <w:name w:val="Commentaire Car"/>
    <w:link w:val="Commentaire"/>
    <w:uiPriority w:val="99"/>
    <w:semiHidden/>
    <w:locked/>
    <w:rsid w:val="003C1977"/>
    <w:rPr>
      <w:rFonts w:ascii="Arial" w:hAnsi="Arial"/>
      <w:lang w:val="nl-NL" w:eastAsia="nl-NL"/>
    </w:rPr>
  </w:style>
  <w:style w:type="paragraph" w:styleId="Lgende">
    <w:name w:val="caption"/>
    <w:basedOn w:val="Normal"/>
    <w:next w:val="Normal"/>
    <w:uiPriority w:val="99"/>
    <w:qFormat/>
    <w:rsid w:val="005D1B21"/>
    <w:rPr>
      <w:b/>
      <w:bCs/>
      <w:sz w:val="20"/>
      <w:szCs w:val="20"/>
    </w:rPr>
  </w:style>
  <w:style w:type="paragraph" w:customStyle="1" w:styleId="ListeANumros">
    <w:name w:val="ListeANuméros"/>
    <w:basedOn w:val="Normal"/>
    <w:uiPriority w:val="99"/>
    <w:rsid w:val="003143D4"/>
    <w:pPr>
      <w:numPr>
        <w:numId w:val="4"/>
      </w:numPr>
    </w:pPr>
    <w:rPr>
      <w:color w:val="0000FF"/>
      <w:sz w:val="20"/>
      <w:lang w:val="en-GB"/>
    </w:rPr>
  </w:style>
  <w:style w:type="paragraph" w:customStyle="1" w:styleId="ListeAPuces">
    <w:name w:val="ListeAPuces"/>
    <w:basedOn w:val="Normal"/>
    <w:uiPriority w:val="99"/>
    <w:rsid w:val="003143D4"/>
    <w:pPr>
      <w:numPr>
        <w:numId w:val="5"/>
      </w:numPr>
    </w:pPr>
    <w:rPr>
      <w:color w:val="0000FF"/>
      <w:sz w:val="20"/>
      <w:lang w:val="en-GB"/>
    </w:rPr>
  </w:style>
  <w:style w:type="paragraph" w:customStyle="1" w:styleId="ListeAPuces2">
    <w:name w:val="ListeAPuces2"/>
    <w:basedOn w:val="Normal"/>
    <w:uiPriority w:val="99"/>
    <w:rsid w:val="003143D4"/>
    <w:pPr>
      <w:ind w:left="567" w:hanging="227"/>
    </w:pPr>
    <w:rPr>
      <w:color w:val="0000FF"/>
      <w:sz w:val="20"/>
      <w:lang w:val="en-GB"/>
    </w:rPr>
  </w:style>
  <w:style w:type="paragraph" w:styleId="NormalWeb">
    <w:name w:val="Normal (Web)"/>
    <w:basedOn w:val="Normal"/>
    <w:uiPriority w:val="99"/>
    <w:rsid w:val="00857FBB"/>
    <w:pPr>
      <w:spacing w:before="100" w:beforeAutospacing="1" w:after="100" w:afterAutospacing="1"/>
    </w:pPr>
    <w:rPr>
      <w:rFonts w:ascii="Times New Roman" w:hAnsi="Times New Roman" w:cs="Times New Roman"/>
      <w:sz w:val="24"/>
      <w:szCs w:val="24"/>
      <w:lang w:val="fr-FR" w:eastAsia="fr-FR"/>
    </w:rPr>
  </w:style>
  <w:style w:type="character" w:customStyle="1" w:styleId="apple-converted-space">
    <w:name w:val="apple-converted-space"/>
    <w:basedOn w:val="Policepardfaut"/>
    <w:uiPriority w:val="99"/>
    <w:rsid w:val="00857FBB"/>
    <w:rPr>
      <w:rFonts w:cs="Times New Roman"/>
    </w:rPr>
  </w:style>
  <w:style w:type="paragraph" w:styleId="Explorateurdedocuments">
    <w:name w:val="Document Map"/>
    <w:basedOn w:val="Normal"/>
    <w:link w:val="ExplorateurdedocumentsCar"/>
    <w:uiPriority w:val="99"/>
    <w:semiHidden/>
    <w:rsid w:val="00C86D65"/>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6B2074"/>
    <w:rPr>
      <w:rFonts w:cs="Arial"/>
      <w:sz w:val="0"/>
      <w:szCs w:val="0"/>
      <w:lang w:val="nl-NL" w:eastAsia="nl-NL"/>
    </w:rPr>
  </w:style>
  <w:style w:type="paragraph" w:styleId="Tabledesillustrations">
    <w:name w:val="table of figures"/>
    <w:basedOn w:val="Normal"/>
    <w:next w:val="Normal"/>
    <w:uiPriority w:val="99"/>
    <w:semiHidden/>
    <w:rsid w:val="00B7034F"/>
    <w:rPr>
      <w:rFonts w:ascii="Times New Roman" w:hAnsi="Times New Roman" w:cs="Times New Roman"/>
      <w:i/>
      <w:iCs/>
      <w:sz w:val="20"/>
      <w:szCs w:val="20"/>
    </w:rPr>
  </w:style>
  <w:style w:type="paragraph" w:styleId="TM4">
    <w:name w:val="toc 4"/>
    <w:basedOn w:val="Normal"/>
    <w:next w:val="Normal"/>
    <w:autoRedefine/>
    <w:uiPriority w:val="99"/>
    <w:semiHidden/>
    <w:rsid w:val="003961E5"/>
    <w:pPr>
      <w:ind w:left="570"/>
    </w:pPr>
    <w:rPr>
      <w:rFonts w:ascii="Times New Roman" w:hAnsi="Times New Roman" w:cs="Times New Roman"/>
      <w:sz w:val="20"/>
      <w:szCs w:val="20"/>
    </w:rPr>
  </w:style>
  <w:style w:type="paragraph" w:styleId="TM5">
    <w:name w:val="toc 5"/>
    <w:basedOn w:val="Normal"/>
    <w:next w:val="Normal"/>
    <w:autoRedefine/>
    <w:uiPriority w:val="99"/>
    <w:semiHidden/>
    <w:rsid w:val="003961E5"/>
    <w:pPr>
      <w:ind w:left="760"/>
    </w:pPr>
    <w:rPr>
      <w:rFonts w:ascii="Times New Roman" w:hAnsi="Times New Roman" w:cs="Times New Roman"/>
      <w:sz w:val="20"/>
      <w:szCs w:val="20"/>
    </w:rPr>
  </w:style>
  <w:style w:type="paragraph" w:styleId="TM6">
    <w:name w:val="toc 6"/>
    <w:basedOn w:val="Normal"/>
    <w:next w:val="Normal"/>
    <w:autoRedefine/>
    <w:uiPriority w:val="99"/>
    <w:semiHidden/>
    <w:rsid w:val="003961E5"/>
    <w:pPr>
      <w:ind w:left="950"/>
    </w:pPr>
    <w:rPr>
      <w:rFonts w:ascii="Times New Roman" w:hAnsi="Times New Roman" w:cs="Times New Roman"/>
      <w:sz w:val="20"/>
      <w:szCs w:val="20"/>
    </w:rPr>
  </w:style>
  <w:style w:type="paragraph" w:styleId="TM7">
    <w:name w:val="toc 7"/>
    <w:basedOn w:val="Normal"/>
    <w:next w:val="Normal"/>
    <w:autoRedefine/>
    <w:uiPriority w:val="99"/>
    <w:semiHidden/>
    <w:rsid w:val="003961E5"/>
    <w:pPr>
      <w:ind w:left="1140"/>
    </w:pPr>
    <w:rPr>
      <w:rFonts w:ascii="Times New Roman" w:hAnsi="Times New Roman" w:cs="Times New Roman"/>
      <w:sz w:val="20"/>
      <w:szCs w:val="20"/>
    </w:rPr>
  </w:style>
  <w:style w:type="paragraph" w:styleId="TM8">
    <w:name w:val="toc 8"/>
    <w:basedOn w:val="Normal"/>
    <w:next w:val="Normal"/>
    <w:autoRedefine/>
    <w:uiPriority w:val="99"/>
    <w:semiHidden/>
    <w:rsid w:val="003961E5"/>
    <w:pPr>
      <w:ind w:left="1330"/>
    </w:pPr>
    <w:rPr>
      <w:rFonts w:ascii="Times New Roman" w:hAnsi="Times New Roman" w:cs="Times New Roman"/>
      <w:sz w:val="20"/>
      <w:szCs w:val="20"/>
    </w:rPr>
  </w:style>
  <w:style w:type="paragraph" w:styleId="TM9">
    <w:name w:val="toc 9"/>
    <w:basedOn w:val="Normal"/>
    <w:next w:val="Normal"/>
    <w:autoRedefine/>
    <w:uiPriority w:val="99"/>
    <w:semiHidden/>
    <w:rsid w:val="003961E5"/>
    <w:pPr>
      <w:ind w:left="1520"/>
    </w:pPr>
    <w:rPr>
      <w:rFonts w:ascii="Times New Roman" w:hAnsi="Times New Roman" w:cs="Times New Roman"/>
      <w:sz w:val="20"/>
      <w:szCs w:val="20"/>
    </w:rPr>
  </w:style>
  <w:style w:type="paragraph" w:customStyle="1" w:styleId="Paragraphedeliste2">
    <w:name w:val="Paragraphe de liste2"/>
    <w:basedOn w:val="Normal"/>
    <w:uiPriority w:val="99"/>
    <w:rsid w:val="000E6598"/>
    <w:pPr>
      <w:ind w:left="708"/>
    </w:pPr>
  </w:style>
  <w:style w:type="paragraph" w:styleId="Paragraphedeliste">
    <w:name w:val="List Paragraph"/>
    <w:basedOn w:val="Normal"/>
    <w:uiPriority w:val="34"/>
    <w:qFormat/>
    <w:rsid w:val="00D74576"/>
    <w:pPr>
      <w:ind w:left="720"/>
      <w:contextualSpacing/>
    </w:pPr>
  </w:style>
  <w:style w:type="paragraph" w:customStyle="1" w:styleId="CM1">
    <w:name w:val="CM1"/>
    <w:basedOn w:val="Normal"/>
    <w:next w:val="Normal"/>
    <w:uiPriority w:val="99"/>
    <w:rsid w:val="00E6071B"/>
    <w:pPr>
      <w:autoSpaceDE w:val="0"/>
      <w:autoSpaceDN w:val="0"/>
      <w:adjustRightInd w:val="0"/>
    </w:pPr>
    <w:rPr>
      <w:rFonts w:ascii="EUAlbertina" w:hAnsi="EUAlbertina" w:cs="Times New Roman"/>
      <w:sz w:val="24"/>
      <w:szCs w:val="24"/>
      <w:lang w:val="pl-PL" w:eastAsia="de-DE"/>
    </w:rPr>
  </w:style>
  <w:style w:type="paragraph" w:customStyle="1" w:styleId="CM4">
    <w:name w:val="CM4"/>
    <w:basedOn w:val="Normal"/>
    <w:next w:val="Normal"/>
    <w:uiPriority w:val="99"/>
    <w:rsid w:val="00E6071B"/>
    <w:pPr>
      <w:autoSpaceDE w:val="0"/>
      <w:autoSpaceDN w:val="0"/>
      <w:adjustRightInd w:val="0"/>
    </w:pPr>
    <w:rPr>
      <w:rFonts w:ascii="EUAlbertina" w:hAnsi="EUAlbertina" w:cs="Times New Roman"/>
      <w:sz w:val="24"/>
      <w:szCs w:val="24"/>
      <w:lang w:val="pl-PL" w:eastAsia="de-DE"/>
    </w:rPr>
  </w:style>
  <w:style w:type="paragraph" w:styleId="Rvision">
    <w:name w:val="Revision"/>
    <w:hidden/>
    <w:uiPriority w:val="99"/>
    <w:semiHidden/>
    <w:rsid w:val="009064E5"/>
    <w:rPr>
      <w:rFonts w:ascii="Arial" w:hAnsi="Arial" w:cs="Arial"/>
      <w:sz w:val="19"/>
      <w:szCs w:val="19"/>
      <w:lang w:val="nl-NL" w:eastAsia="nl-NL"/>
    </w:rPr>
  </w:style>
  <w:style w:type="character" w:customStyle="1" w:styleId="shorttext">
    <w:name w:val="short_text"/>
    <w:basedOn w:val="Policepardfaut"/>
    <w:rsid w:val="002B6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228">
      <w:bodyDiv w:val="1"/>
      <w:marLeft w:val="0"/>
      <w:marRight w:val="0"/>
      <w:marTop w:val="0"/>
      <w:marBottom w:val="0"/>
      <w:divBdr>
        <w:top w:val="none" w:sz="0" w:space="0" w:color="auto"/>
        <w:left w:val="none" w:sz="0" w:space="0" w:color="auto"/>
        <w:bottom w:val="none" w:sz="0" w:space="0" w:color="auto"/>
        <w:right w:val="none" w:sz="0" w:space="0" w:color="auto"/>
      </w:divBdr>
    </w:div>
    <w:div w:id="81801442">
      <w:bodyDiv w:val="1"/>
      <w:marLeft w:val="0"/>
      <w:marRight w:val="0"/>
      <w:marTop w:val="0"/>
      <w:marBottom w:val="0"/>
      <w:divBdr>
        <w:top w:val="none" w:sz="0" w:space="0" w:color="auto"/>
        <w:left w:val="none" w:sz="0" w:space="0" w:color="auto"/>
        <w:bottom w:val="none" w:sz="0" w:space="0" w:color="auto"/>
        <w:right w:val="none" w:sz="0" w:space="0" w:color="auto"/>
      </w:divBdr>
    </w:div>
    <w:div w:id="109055193">
      <w:bodyDiv w:val="1"/>
      <w:marLeft w:val="0"/>
      <w:marRight w:val="0"/>
      <w:marTop w:val="0"/>
      <w:marBottom w:val="0"/>
      <w:divBdr>
        <w:top w:val="none" w:sz="0" w:space="0" w:color="auto"/>
        <w:left w:val="none" w:sz="0" w:space="0" w:color="auto"/>
        <w:bottom w:val="none" w:sz="0" w:space="0" w:color="auto"/>
        <w:right w:val="none" w:sz="0" w:space="0" w:color="auto"/>
      </w:divBdr>
    </w:div>
    <w:div w:id="138377527">
      <w:bodyDiv w:val="1"/>
      <w:marLeft w:val="0"/>
      <w:marRight w:val="0"/>
      <w:marTop w:val="0"/>
      <w:marBottom w:val="0"/>
      <w:divBdr>
        <w:top w:val="none" w:sz="0" w:space="0" w:color="auto"/>
        <w:left w:val="none" w:sz="0" w:space="0" w:color="auto"/>
        <w:bottom w:val="none" w:sz="0" w:space="0" w:color="auto"/>
        <w:right w:val="none" w:sz="0" w:space="0" w:color="auto"/>
      </w:divBdr>
    </w:div>
    <w:div w:id="167452769">
      <w:bodyDiv w:val="1"/>
      <w:marLeft w:val="0"/>
      <w:marRight w:val="0"/>
      <w:marTop w:val="0"/>
      <w:marBottom w:val="0"/>
      <w:divBdr>
        <w:top w:val="none" w:sz="0" w:space="0" w:color="auto"/>
        <w:left w:val="none" w:sz="0" w:space="0" w:color="auto"/>
        <w:bottom w:val="none" w:sz="0" w:space="0" w:color="auto"/>
        <w:right w:val="none" w:sz="0" w:space="0" w:color="auto"/>
      </w:divBdr>
    </w:div>
    <w:div w:id="167720333">
      <w:bodyDiv w:val="1"/>
      <w:marLeft w:val="0"/>
      <w:marRight w:val="0"/>
      <w:marTop w:val="0"/>
      <w:marBottom w:val="0"/>
      <w:divBdr>
        <w:top w:val="none" w:sz="0" w:space="0" w:color="auto"/>
        <w:left w:val="none" w:sz="0" w:space="0" w:color="auto"/>
        <w:bottom w:val="none" w:sz="0" w:space="0" w:color="auto"/>
        <w:right w:val="none" w:sz="0" w:space="0" w:color="auto"/>
      </w:divBdr>
    </w:div>
    <w:div w:id="173812320">
      <w:bodyDiv w:val="1"/>
      <w:marLeft w:val="0"/>
      <w:marRight w:val="0"/>
      <w:marTop w:val="0"/>
      <w:marBottom w:val="0"/>
      <w:divBdr>
        <w:top w:val="none" w:sz="0" w:space="0" w:color="auto"/>
        <w:left w:val="none" w:sz="0" w:space="0" w:color="auto"/>
        <w:bottom w:val="none" w:sz="0" w:space="0" w:color="auto"/>
        <w:right w:val="none" w:sz="0" w:space="0" w:color="auto"/>
      </w:divBdr>
    </w:div>
    <w:div w:id="202835729">
      <w:bodyDiv w:val="1"/>
      <w:marLeft w:val="0"/>
      <w:marRight w:val="0"/>
      <w:marTop w:val="0"/>
      <w:marBottom w:val="0"/>
      <w:divBdr>
        <w:top w:val="none" w:sz="0" w:space="0" w:color="auto"/>
        <w:left w:val="none" w:sz="0" w:space="0" w:color="auto"/>
        <w:bottom w:val="none" w:sz="0" w:space="0" w:color="auto"/>
        <w:right w:val="none" w:sz="0" w:space="0" w:color="auto"/>
      </w:divBdr>
    </w:div>
    <w:div w:id="222639345">
      <w:bodyDiv w:val="1"/>
      <w:marLeft w:val="0"/>
      <w:marRight w:val="0"/>
      <w:marTop w:val="0"/>
      <w:marBottom w:val="0"/>
      <w:divBdr>
        <w:top w:val="none" w:sz="0" w:space="0" w:color="auto"/>
        <w:left w:val="none" w:sz="0" w:space="0" w:color="auto"/>
        <w:bottom w:val="none" w:sz="0" w:space="0" w:color="auto"/>
        <w:right w:val="none" w:sz="0" w:space="0" w:color="auto"/>
      </w:divBdr>
    </w:div>
    <w:div w:id="226184938">
      <w:bodyDiv w:val="1"/>
      <w:marLeft w:val="0"/>
      <w:marRight w:val="0"/>
      <w:marTop w:val="0"/>
      <w:marBottom w:val="0"/>
      <w:divBdr>
        <w:top w:val="none" w:sz="0" w:space="0" w:color="auto"/>
        <w:left w:val="none" w:sz="0" w:space="0" w:color="auto"/>
        <w:bottom w:val="none" w:sz="0" w:space="0" w:color="auto"/>
        <w:right w:val="none" w:sz="0" w:space="0" w:color="auto"/>
      </w:divBdr>
    </w:div>
    <w:div w:id="270672269">
      <w:bodyDiv w:val="1"/>
      <w:marLeft w:val="0"/>
      <w:marRight w:val="0"/>
      <w:marTop w:val="0"/>
      <w:marBottom w:val="0"/>
      <w:divBdr>
        <w:top w:val="none" w:sz="0" w:space="0" w:color="auto"/>
        <w:left w:val="none" w:sz="0" w:space="0" w:color="auto"/>
        <w:bottom w:val="none" w:sz="0" w:space="0" w:color="auto"/>
        <w:right w:val="none" w:sz="0" w:space="0" w:color="auto"/>
      </w:divBdr>
    </w:div>
    <w:div w:id="294336696">
      <w:bodyDiv w:val="1"/>
      <w:marLeft w:val="0"/>
      <w:marRight w:val="0"/>
      <w:marTop w:val="0"/>
      <w:marBottom w:val="0"/>
      <w:divBdr>
        <w:top w:val="none" w:sz="0" w:space="0" w:color="auto"/>
        <w:left w:val="none" w:sz="0" w:space="0" w:color="auto"/>
        <w:bottom w:val="none" w:sz="0" w:space="0" w:color="auto"/>
        <w:right w:val="none" w:sz="0" w:space="0" w:color="auto"/>
      </w:divBdr>
    </w:div>
    <w:div w:id="296028193">
      <w:bodyDiv w:val="1"/>
      <w:marLeft w:val="0"/>
      <w:marRight w:val="0"/>
      <w:marTop w:val="0"/>
      <w:marBottom w:val="0"/>
      <w:divBdr>
        <w:top w:val="none" w:sz="0" w:space="0" w:color="auto"/>
        <w:left w:val="none" w:sz="0" w:space="0" w:color="auto"/>
        <w:bottom w:val="none" w:sz="0" w:space="0" w:color="auto"/>
        <w:right w:val="none" w:sz="0" w:space="0" w:color="auto"/>
      </w:divBdr>
    </w:div>
    <w:div w:id="320740754">
      <w:bodyDiv w:val="1"/>
      <w:marLeft w:val="0"/>
      <w:marRight w:val="0"/>
      <w:marTop w:val="0"/>
      <w:marBottom w:val="0"/>
      <w:divBdr>
        <w:top w:val="none" w:sz="0" w:space="0" w:color="auto"/>
        <w:left w:val="none" w:sz="0" w:space="0" w:color="auto"/>
        <w:bottom w:val="none" w:sz="0" w:space="0" w:color="auto"/>
        <w:right w:val="none" w:sz="0" w:space="0" w:color="auto"/>
      </w:divBdr>
    </w:div>
    <w:div w:id="335347875">
      <w:bodyDiv w:val="1"/>
      <w:marLeft w:val="0"/>
      <w:marRight w:val="0"/>
      <w:marTop w:val="0"/>
      <w:marBottom w:val="0"/>
      <w:divBdr>
        <w:top w:val="none" w:sz="0" w:space="0" w:color="auto"/>
        <w:left w:val="none" w:sz="0" w:space="0" w:color="auto"/>
        <w:bottom w:val="none" w:sz="0" w:space="0" w:color="auto"/>
        <w:right w:val="none" w:sz="0" w:space="0" w:color="auto"/>
      </w:divBdr>
    </w:div>
    <w:div w:id="338579968">
      <w:bodyDiv w:val="1"/>
      <w:marLeft w:val="0"/>
      <w:marRight w:val="0"/>
      <w:marTop w:val="0"/>
      <w:marBottom w:val="0"/>
      <w:divBdr>
        <w:top w:val="none" w:sz="0" w:space="0" w:color="auto"/>
        <w:left w:val="none" w:sz="0" w:space="0" w:color="auto"/>
        <w:bottom w:val="none" w:sz="0" w:space="0" w:color="auto"/>
        <w:right w:val="none" w:sz="0" w:space="0" w:color="auto"/>
      </w:divBdr>
    </w:div>
    <w:div w:id="342174279">
      <w:bodyDiv w:val="1"/>
      <w:marLeft w:val="0"/>
      <w:marRight w:val="0"/>
      <w:marTop w:val="0"/>
      <w:marBottom w:val="0"/>
      <w:divBdr>
        <w:top w:val="none" w:sz="0" w:space="0" w:color="auto"/>
        <w:left w:val="none" w:sz="0" w:space="0" w:color="auto"/>
        <w:bottom w:val="none" w:sz="0" w:space="0" w:color="auto"/>
        <w:right w:val="none" w:sz="0" w:space="0" w:color="auto"/>
      </w:divBdr>
    </w:div>
    <w:div w:id="367216700">
      <w:bodyDiv w:val="1"/>
      <w:marLeft w:val="0"/>
      <w:marRight w:val="0"/>
      <w:marTop w:val="0"/>
      <w:marBottom w:val="0"/>
      <w:divBdr>
        <w:top w:val="none" w:sz="0" w:space="0" w:color="auto"/>
        <w:left w:val="none" w:sz="0" w:space="0" w:color="auto"/>
        <w:bottom w:val="none" w:sz="0" w:space="0" w:color="auto"/>
        <w:right w:val="none" w:sz="0" w:space="0" w:color="auto"/>
      </w:divBdr>
    </w:div>
    <w:div w:id="384305530">
      <w:bodyDiv w:val="1"/>
      <w:marLeft w:val="0"/>
      <w:marRight w:val="0"/>
      <w:marTop w:val="0"/>
      <w:marBottom w:val="0"/>
      <w:divBdr>
        <w:top w:val="none" w:sz="0" w:space="0" w:color="auto"/>
        <w:left w:val="none" w:sz="0" w:space="0" w:color="auto"/>
        <w:bottom w:val="none" w:sz="0" w:space="0" w:color="auto"/>
        <w:right w:val="none" w:sz="0" w:space="0" w:color="auto"/>
      </w:divBdr>
    </w:div>
    <w:div w:id="388845228">
      <w:bodyDiv w:val="1"/>
      <w:marLeft w:val="0"/>
      <w:marRight w:val="0"/>
      <w:marTop w:val="0"/>
      <w:marBottom w:val="0"/>
      <w:divBdr>
        <w:top w:val="none" w:sz="0" w:space="0" w:color="auto"/>
        <w:left w:val="none" w:sz="0" w:space="0" w:color="auto"/>
        <w:bottom w:val="none" w:sz="0" w:space="0" w:color="auto"/>
        <w:right w:val="none" w:sz="0" w:space="0" w:color="auto"/>
      </w:divBdr>
    </w:div>
    <w:div w:id="398748597">
      <w:bodyDiv w:val="1"/>
      <w:marLeft w:val="0"/>
      <w:marRight w:val="0"/>
      <w:marTop w:val="0"/>
      <w:marBottom w:val="0"/>
      <w:divBdr>
        <w:top w:val="none" w:sz="0" w:space="0" w:color="auto"/>
        <w:left w:val="none" w:sz="0" w:space="0" w:color="auto"/>
        <w:bottom w:val="none" w:sz="0" w:space="0" w:color="auto"/>
        <w:right w:val="none" w:sz="0" w:space="0" w:color="auto"/>
      </w:divBdr>
    </w:div>
    <w:div w:id="425657036">
      <w:bodyDiv w:val="1"/>
      <w:marLeft w:val="0"/>
      <w:marRight w:val="0"/>
      <w:marTop w:val="0"/>
      <w:marBottom w:val="0"/>
      <w:divBdr>
        <w:top w:val="none" w:sz="0" w:space="0" w:color="auto"/>
        <w:left w:val="none" w:sz="0" w:space="0" w:color="auto"/>
        <w:bottom w:val="none" w:sz="0" w:space="0" w:color="auto"/>
        <w:right w:val="none" w:sz="0" w:space="0" w:color="auto"/>
      </w:divBdr>
    </w:div>
    <w:div w:id="431365754">
      <w:bodyDiv w:val="1"/>
      <w:marLeft w:val="0"/>
      <w:marRight w:val="0"/>
      <w:marTop w:val="0"/>
      <w:marBottom w:val="0"/>
      <w:divBdr>
        <w:top w:val="none" w:sz="0" w:space="0" w:color="auto"/>
        <w:left w:val="none" w:sz="0" w:space="0" w:color="auto"/>
        <w:bottom w:val="none" w:sz="0" w:space="0" w:color="auto"/>
        <w:right w:val="none" w:sz="0" w:space="0" w:color="auto"/>
      </w:divBdr>
    </w:div>
    <w:div w:id="469401047">
      <w:bodyDiv w:val="1"/>
      <w:marLeft w:val="0"/>
      <w:marRight w:val="0"/>
      <w:marTop w:val="0"/>
      <w:marBottom w:val="0"/>
      <w:divBdr>
        <w:top w:val="none" w:sz="0" w:space="0" w:color="auto"/>
        <w:left w:val="none" w:sz="0" w:space="0" w:color="auto"/>
        <w:bottom w:val="none" w:sz="0" w:space="0" w:color="auto"/>
        <w:right w:val="none" w:sz="0" w:space="0" w:color="auto"/>
      </w:divBdr>
    </w:div>
    <w:div w:id="537206420">
      <w:bodyDiv w:val="1"/>
      <w:marLeft w:val="0"/>
      <w:marRight w:val="0"/>
      <w:marTop w:val="0"/>
      <w:marBottom w:val="0"/>
      <w:divBdr>
        <w:top w:val="none" w:sz="0" w:space="0" w:color="auto"/>
        <w:left w:val="none" w:sz="0" w:space="0" w:color="auto"/>
        <w:bottom w:val="none" w:sz="0" w:space="0" w:color="auto"/>
        <w:right w:val="none" w:sz="0" w:space="0" w:color="auto"/>
      </w:divBdr>
    </w:div>
    <w:div w:id="547690087">
      <w:bodyDiv w:val="1"/>
      <w:marLeft w:val="0"/>
      <w:marRight w:val="0"/>
      <w:marTop w:val="0"/>
      <w:marBottom w:val="0"/>
      <w:divBdr>
        <w:top w:val="none" w:sz="0" w:space="0" w:color="auto"/>
        <w:left w:val="none" w:sz="0" w:space="0" w:color="auto"/>
        <w:bottom w:val="none" w:sz="0" w:space="0" w:color="auto"/>
        <w:right w:val="none" w:sz="0" w:space="0" w:color="auto"/>
      </w:divBdr>
    </w:div>
    <w:div w:id="581373700">
      <w:bodyDiv w:val="1"/>
      <w:marLeft w:val="0"/>
      <w:marRight w:val="0"/>
      <w:marTop w:val="0"/>
      <w:marBottom w:val="0"/>
      <w:divBdr>
        <w:top w:val="none" w:sz="0" w:space="0" w:color="auto"/>
        <w:left w:val="none" w:sz="0" w:space="0" w:color="auto"/>
        <w:bottom w:val="none" w:sz="0" w:space="0" w:color="auto"/>
        <w:right w:val="none" w:sz="0" w:space="0" w:color="auto"/>
      </w:divBdr>
    </w:div>
    <w:div w:id="640378453">
      <w:bodyDiv w:val="1"/>
      <w:marLeft w:val="0"/>
      <w:marRight w:val="0"/>
      <w:marTop w:val="0"/>
      <w:marBottom w:val="0"/>
      <w:divBdr>
        <w:top w:val="none" w:sz="0" w:space="0" w:color="auto"/>
        <w:left w:val="none" w:sz="0" w:space="0" w:color="auto"/>
        <w:bottom w:val="none" w:sz="0" w:space="0" w:color="auto"/>
        <w:right w:val="none" w:sz="0" w:space="0" w:color="auto"/>
      </w:divBdr>
    </w:div>
    <w:div w:id="663244210">
      <w:bodyDiv w:val="1"/>
      <w:marLeft w:val="0"/>
      <w:marRight w:val="0"/>
      <w:marTop w:val="0"/>
      <w:marBottom w:val="0"/>
      <w:divBdr>
        <w:top w:val="none" w:sz="0" w:space="0" w:color="auto"/>
        <w:left w:val="none" w:sz="0" w:space="0" w:color="auto"/>
        <w:bottom w:val="none" w:sz="0" w:space="0" w:color="auto"/>
        <w:right w:val="none" w:sz="0" w:space="0" w:color="auto"/>
      </w:divBdr>
    </w:div>
    <w:div w:id="684944375">
      <w:bodyDiv w:val="1"/>
      <w:marLeft w:val="0"/>
      <w:marRight w:val="0"/>
      <w:marTop w:val="0"/>
      <w:marBottom w:val="0"/>
      <w:divBdr>
        <w:top w:val="none" w:sz="0" w:space="0" w:color="auto"/>
        <w:left w:val="none" w:sz="0" w:space="0" w:color="auto"/>
        <w:bottom w:val="none" w:sz="0" w:space="0" w:color="auto"/>
        <w:right w:val="none" w:sz="0" w:space="0" w:color="auto"/>
      </w:divBdr>
    </w:div>
    <w:div w:id="715474121">
      <w:bodyDiv w:val="1"/>
      <w:marLeft w:val="0"/>
      <w:marRight w:val="0"/>
      <w:marTop w:val="0"/>
      <w:marBottom w:val="0"/>
      <w:divBdr>
        <w:top w:val="none" w:sz="0" w:space="0" w:color="auto"/>
        <w:left w:val="none" w:sz="0" w:space="0" w:color="auto"/>
        <w:bottom w:val="none" w:sz="0" w:space="0" w:color="auto"/>
        <w:right w:val="none" w:sz="0" w:space="0" w:color="auto"/>
      </w:divBdr>
    </w:div>
    <w:div w:id="848569968">
      <w:bodyDiv w:val="1"/>
      <w:marLeft w:val="0"/>
      <w:marRight w:val="0"/>
      <w:marTop w:val="0"/>
      <w:marBottom w:val="0"/>
      <w:divBdr>
        <w:top w:val="none" w:sz="0" w:space="0" w:color="auto"/>
        <w:left w:val="none" w:sz="0" w:space="0" w:color="auto"/>
        <w:bottom w:val="none" w:sz="0" w:space="0" w:color="auto"/>
        <w:right w:val="none" w:sz="0" w:space="0" w:color="auto"/>
      </w:divBdr>
    </w:div>
    <w:div w:id="914314545">
      <w:bodyDiv w:val="1"/>
      <w:marLeft w:val="0"/>
      <w:marRight w:val="0"/>
      <w:marTop w:val="0"/>
      <w:marBottom w:val="0"/>
      <w:divBdr>
        <w:top w:val="none" w:sz="0" w:space="0" w:color="auto"/>
        <w:left w:val="none" w:sz="0" w:space="0" w:color="auto"/>
        <w:bottom w:val="none" w:sz="0" w:space="0" w:color="auto"/>
        <w:right w:val="none" w:sz="0" w:space="0" w:color="auto"/>
      </w:divBdr>
    </w:div>
    <w:div w:id="957952371">
      <w:marLeft w:val="0"/>
      <w:marRight w:val="0"/>
      <w:marTop w:val="0"/>
      <w:marBottom w:val="0"/>
      <w:divBdr>
        <w:top w:val="none" w:sz="0" w:space="0" w:color="auto"/>
        <w:left w:val="none" w:sz="0" w:space="0" w:color="auto"/>
        <w:bottom w:val="none" w:sz="0" w:space="0" w:color="auto"/>
        <w:right w:val="none" w:sz="0" w:space="0" w:color="auto"/>
      </w:divBdr>
      <w:divsChild>
        <w:div w:id="957952395">
          <w:marLeft w:val="0"/>
          <w:marRight w:val="0"/>
          <w:marTop w:val="0"/>
          <w:marBottom w:val="0"/>
          <w:divBdr>
            <w:top w:val="none" w:sz="0" w:space="0" w:color="auto"/>
            <w:left w:val="none" w:sz="0" w:space="0" w:color="auto"/>
            <w:bottom w:val="none" w:sz="0" w:space="0" w:color="auto"/>
            <w:right w:val="none" w:sz="0" w:space="0" w:color="auto"/>
          </w:divBdr>
        </w:div>
      </w:divsChild>
    </w:div>
    <w:div w:id="957952373">
      <w:marLeft w:val="0"/>
      <w:marRight w:val="0"/>
      <w:marTop w:val="0"/>
      <w:marBottom w:val="0"/>
      <w:divBdr>
        <w:top w:val="none" w:sz="0" w:space="0" w:color="auto"/>
        <w:left w:val="none" w:sz="0" w:space="0" w:color="auto"/>
        <w:bottom w:val="none" w:sz="0" w:space="0" w:color="auto"/>
        <w:right w:val="none" w:sz="0" w:space="0" w:color="auto"/>
      </w:divBdr>
      <w:divsChild>
        <w:div w:id="957952394">
          <w:marLeft w:val="0"/>
          <w:marRight w:val="0"/>
          <w:marTop w:val="0"/>
          <w:marBottom w:val="0"/>
          <w:divBdr>
            <w:top w:val="none" w:sz="0" w:space="0" w:color="auto"/>
            <w:left w:val="none" w:sz="0" w:space="0" w:color="auto"/>
            <w:bottom w:val="none" w:sz="0" w:space="0" w:color="auto"/>
            <w:right w:val="none" w:sz="0" w:space="0" w:color="auto"/>
          </w:divBdr>
        </w:div>
      </w:divsChild>
    </w:div>
    <w:div w:id="957952375">
      <w:marLeft w:val="0"/>
      <w:marRight w:val="0"/>
      <w:marTop w:val="0"/>
      <w:marBottom w:val="0"/>
      <w:divBdr>
        <w:top w:val="none" w:sz="0" w:space="0" w:color="auto"/>
        <w:left w:val="none" w:sz="0" w:space="0" w:color="auto"/>
        <w:bottom w:val="none" w:sz="0" w:space="0" w:color="auto"/>
        <w:right w:val="none" w:sz="0" w:space="0" w:color="auto"/>
      </w:divBdr>
    </w:div>
    <w:div w:id="957952378">
      <w:marLeft w:val="0"/>
      <w:marRight w:val="0"/>
      <w:marTop w:val="0"/>
      <w:marBottom w:val="0"/>
      <w:divBdr>
        <w:top w:val="none" w:sz="0" w:space="0" w:color="auto"/>
        <w:left w:val="none" w:sz="0" w:space="0" w:color="auto"/>
        <w:bottom w:val="none" w:sz="0" w:space="0" w:color="auto"/>
        <w:right w:val="none" w:sz="0" w:space="0" w:color="auto"/>
      </w:divBdr>
    </w:div>
    <w:div w:id="957952379">
      <w:marLeft w:val="0"/>
      <w:marRight w:val="0"/>
      <w:marTop w:val="0"/>
      <w:marBottom w:val="0"/>
      <w:divBdr>
        <w:top w:val="none" w:sz="0" w:space="0" w:color="auto"/>
        <w:left w:val="none" w:sz="0" w:space="0" w:color="auto"/>
        <w:bottom w:val="none" w:sz="0" w:space="0" w:color="auto"/>
        <w:right w:val="none" w:sz="0" w:space="0" w:color="auto"/>
      </w:divBdr>
      <w:divsChild>
        <w:div w:id="957952389">
          <w:marLeft w:val="0"/>
          <w:marRight w:val="0"/>
          <w:marTop w:val="0"/>
          <w:marBottom w:val="0"/>
          <w:divBdr>
            <w:top w:val="none" w:sz="0" w:space="0" w:color="auto"/>
            <w:left w:val="none" w:sz="0" w:space="0" w:color="auto"/>
            <w:bottom w:val="none" w:sz="0" w:space="0" w:color="auto"/>
            <w:right w:val="none" w:sz="0" w:space="0" w:color="auto"/>
          </w:divBdr>
        </w:div>
      </w:divsChild>
    </w:div>
    <w:div w:id="957952380">
      <w:marLeft w:val="0"/>
      <w:marRight w:val="0"/>
      <w:marTop w:val="0"/>
      <w:marBottom w:val="0"/>
      <w:divBdr>
        <w:top w:val="none" w:sz="0" w:space="0" w:color="auto"/>
        <w:left w:val="none" w:sz="0" w:space="0" w:color="auto"/>
        <w:bottom w:val="none" w:sz="0" w:space="0" w:color="auto"/>
        <w:right w:val="none" w:sz="0" w:space="0" w:color="auto"/>
      </w:divBdr>
    </w:div>
    <w:div w:id="957952381">
      <w:marLeft w:val="0"/>
      <w:marRight w:val="0"/>
      <w:marTop w:val="0"/>
      <w:marBottom w:val="0"/>
      <w:divBdr>
        <w:top w:val="none" w:sz="0" w:space="0" w:color="auto"/>
        <w:left w:val="none" w:sz="0" w:space="0" w:color="auto"/>
        <w:bottom w:val="none" w:sz="0" w:space="0" w:color="auto"/>
        <w:right w:val="none" w:sz="0" w:space="0" w:color="auto"/>
      </w:divBdr>
    </w:div>
    <w:div w:id="957952386">
      <w:marLeft w:val="0"/>
      <w:marRight w:val="0"/>
      <w:marTop w:val="0"/>
      <w:marBottom w:val="0"/>
      <w:divBdr>
        <w:top w:val="none" w:sz="0" w:space="0" w:color="auto"/>
        <w:left w:val="none" w:sz="0" w:space="0" w:color="auto"/>
        <w:bottom w:val="none" w:sz="0" w:space="0" w:color="auto"/>
        <w:right w:val="none" w:sz="0" w:space="0" w:color="auto"/>
      </w:divBdr>
      <w:divsChild>
        <w:div w:id="957952376">
          <w:marLeft w:val="0"/>
          <w:marRight w:val="0"/>
          <w:marTop w:val="0"/>
          <w:marBottom w:val="0"/>
          <w:divBdr>
            <w:top w:val="none" w:sz="0" w:space="0" w:color="auto"/>
            <w:left w:val="none" w:sz="0" w:space="0" w:color="auto"/>
            <w:bottom w:val="none" w:sz="0" w:space="0" w:color="auto"/>
            <w:right w:val="none" w:sz="0" w:space="0" w:color="auto"/>
          </w:divBdr>
        </w:div>
        <w:div w:id="957952384">
          <w:marLeft w:val="0"/>
          <w:marRight w:val="0"/>
          <w:marTop w:val="0"/>
          <w:marBottom w:val="0"/>
          <w:divBdr>
            <w:top w:val="none" w:sz="0" w:space="0" w:color="auto"/>
            <w:left w:val="none" w:sz="0" w:space="0" w:color="auto"/>
            <w:bottom w:val="none" w:sz="0" w:space="0" w:color="auto"/>
            <w:right w:val="none" w:sz="0" w:space="0" w:color="auto"/>
          </w:divBdr>
        </w:div>
        <w:div w:id="957952391">
          <w:marLeft w:val="0"/>
          <w:marRight w:val="0"/>
          <w:marTop w:val="0"/>
          <w:marBottom w:val="0"/>
          <w:divBdr>
            <w:top w:val="none" w:sz="0" w:space="0" w:color="auto"/>
            <w:left w:val="none" w:sz="0" w:space="0" w:color="auto"/>
            <w:bottom w:val="none" w:sz="0" w:space="0" w:color="auto"/>
            <w:right w:val="none" w:sz="0" w:space="0" w:color="auto"/>
          </w:divBdr>
        </w:div>
      </w:divsChild>
    </w:div>
    <w:div w:id="957952387">
      <w:marLeft w:val="0"/>
      <w:marRight w:val="0"/>
      <w:marTop w:val="0"/>
      <w:marBottom w:val="0"/>
      <w:divBdr>
        <w:top w:val="none" w:sz="0" w:space="0" w:color="auto"/>
        <w:left w:val="none" w:sz="0" w:space="0" w:color="auto"/>
        <w:bottom w:val="none" w:sz="0" w:space="0" w:color="auto"/>
        <w:right w:val="none" w:sz="0" w:space="0" w:color="auto"/>
      </w:divBdr>
    </w:div>
    <w:div w:id="957952388">
      <w:marLeft w:val="0"/>
      <w:marRight w:val="0"/>
      <w:marTop w:val="0"/>
      <w:marBottom w:val="0"/>
      <w:divBdr>
        <w:top w:val="none" w:sz="0" w:space="0" w:color="auto"/>
        <w:left w:val="none" w:sz="0" w:space="0" w:color="auto"/>
        <w:bottom w:val="none" w:sz="0" w:space="0" w:color="auto"/>
        <w:right w:val="none" w:sz="0" w:space="0" w:color="auto"/>
      </w:divBdr>
      <w:divsChild>
        <w:div w:id="957952372">
          <w:marLeft w:val="1800"/>
          <w:marRight w:val="0"/>
          <w:marTop w:val="91"/>
          <w:marBottom w:val="0"/>
          <w:divBdr>
            <w:top w:val="none" w:sz="0" w:space="0" w:color="auto"/>
            <w:left w:val="none" w:sz="0" w:space="0" w:color="auto"/>
            <w:bottom w:val="none" w:sz="0" w:space="0" w:color="auto"/>
            <w:right w:val="none" w:sz="0" w:space="0" w:color="auto"/>
          </w:divBdr>
        </w:div>
        <w:div w:id="957952382">
          <w:marLeft w:val="1800"/>
          <w:marRight w:val="0"/>
          <w:marTop w:val="91"/>
          <w:marBottom w:val="0"/>
          <w:divBdr>
            <w:top w:val="none" w:sz="0" w:space="0" w:color="auto"/>
            <w:left w:val="none" w:sz="0" w:space="0" w:color="auto"/>
            <w:bottom w:val="none" w:sz="0" w:space="0" w:color="auto"/>
            <w:right w:val="none" w:sz="0" w:space="0" w:color="auto"/>
          </w:divBdr>
        </w:div>
        <w:div w:id="957952397">
          <w:marLeft w:val="1800"/>
          <w:marRight w:val="0"/>
          <w:marTop w:val="91"/>
          <w:marBottom w:val="0"/>
          <w:divBdr>
            <w:top w:val="none" w:sz="0" w:space="0" w:color="auto"/>
            <w:left w:val="none" w:sz="0" w:space="0" w:color="auto"/>
            <w:bottom w:val="none" w:sz="0" w:space="0" w:color="auto"/>
            <w:right w:val="none" w:sz="0" w:space="0" w:color="auto"/>
          </w:divBdr>
        </w:div>
      </w:divsChild>
    </w:div>
    <w:div w:id="957952390">
      <w:marLeft w:val="0"/>
      <w:marRight w:val="0"/>
      <w:marTop w:val="0"/>
      <w:marBottom w:val="0"/>
      <w:divBdr>
        <w:top w:val="none" w:sz="0" w:space="0" w:color="auto"/>
        <w:left w:val="none" w:sz="0" w:space="0" w:color="auto"/>
        <w:bottom w:val="none" w:sz="0" w:space="0" w:color="auto"/>
        <w:right w:val="none" w:sz="0" w:space="0" w:color="auto"/>
      </w:divBdr>
      <w:divsChild>
        <w:div w:id="957952396">
          <w:marLeft w:val="0"/>
          <w:marRight w:val="0"/>
          <w:marTop w:val="0"/>
          <w:marBottom w:val="0"/>
          <w:divBdr>
            <w:top w:val="none" w:sz="0" w:space="0" w:color="auto"/>
            <w:left w:val="none" w:sz="0" w:space="0" w:color="auto"/>
            <w:bottom w:val="none" w:sz="0" w:space="0" w:color="auto"/>
            <w:right w:val="none" w:sz="0" w:space="0" w:color="auto"/>
          </w:divBdr>
        </w:div>
      </w:divsChild>
    </w:div>
    <w:div w:id="957952393">
      <w:marLeft w:val="0"/>
      <w:marRight w:val="0"/>
      <w:marTop w:val="0"/>
      <w:marBottom w:val="0"/>
      <w:divBdr>
        <w:top w:val="none" w:sz="0" w:space="0" w:color="auto"/>
        <w:left w:val="none" w:sz="0" w:space="0" w:color="auto"/>
        <w:bottom w:val="none" w:sz="0" w:space="0" w:color="auto"/>
        <w:right w:val="none" w:sz="0" w:space="0" w:color="auto"/>
      </w:divBdr>
    </w:div>
    <w:div w:id="957952398">
      <w:marLeft w:val="0"/>
      <w:marRight w:val="0"/>
      <w:marTop w:val="0"/>
      <w:marBottom w:val="0"/>
      <w:divBdr>
        <w:top w:val="none" w:sz="0" w:space="0" w:color="auto"/>
        <w:left w:val="none" w:sz="0" w:space="0" w:color="auto"/>
        <w:bottom w:val="none" w:sz="0" w:space="0" w:color="auto"/>
        <w:right w:val="none" w:sz="0" w:space="0" w:color="auto"/>
      </w:divBdr>
    </w:div>
    <w:div w:id="957952399">
      <w:marLeft w:val="0"/>
      <w:marRight w:val="0"/>
      <w:marTop w:val="0"/>
      <w:marBottom w:val="0"/>
      <w:divBdr>
        <w:top w:val="none" w:sz="0" w:space="0" w:color="auto"/>
        <w:left w:val="none" w:sz="0" w:space="0" w:color="auto"/>
        <w:bottom w:val="none" w:sz="0" w:space="0" w:color="auto"/>
        <w:right w:val="none" w:sz="0" w:space="0" w:color="auto"/>
      </w:divBdr>
    </w:div>
    <w:div w:id="957952400">
      <w:marLeft w:val="0"/>
      <w:marRight w:val="0"/>
      <w:marTop w:val="0"/>
      <w:marBottom w:val="0"/>
      <w:divBdr>
        <w:top w:val="none" w:sz="0" w:space="0" w:color="auto"/>
        <w:left w:val="none" w:sz="0" w:space="0" w:color="auto"/>
        <w:bottom w:val="none" w:sz="0" w:space="0" w:color="auto"/>
        <w:right w:val="none" w:sz="0" w:space="0" w:color="auto"/>
      </w:divBdr>
      <w:divsChild>
        <w:div w:id="957952383">
          <w:marLeft w:val="0"/>
          <w:marRight w:val="0"/>
          <w:marTop w:val="0"/>
          <w:marBottom w:val="0"/>
          <w:divBdr>
            <w:top w:val="none" w:sz="0" w:space="0" w:color="auto"/>
            <w:left w:val="none" w:sz="0" w:space="0" w:color="auto"/>
            <w:bottom w:val="none" w:sz="0" w:space="0" w:color="auto"/>
            <w:right w:val="none" w:sz="0" w:space="0" w:color="auto"/>
          </w:divBdr>
          <w:divsChild>
            <w:div w:id="957952374">
              <w:marLeft w:val="0"/>
              <w:marRight w:val="0"/>
              <w:marTop w:val="0"/>
              <w:marBottom w:val="0"/>
              <w:divBdr>
                <w:top w:val="none" w:sz="0" w:space="0" w:color="auto"/>
                <w:left w:val="none" w:sz="0" w:space="0" w:color="auto"/>
                <w:bottom w:val="none" w:sz="0" w:space="0" w:color="auto"/>
                <w:right w:val="none" w:sz="0" w:space="0" w:color="auto"/>
              </w:divBdr>
            </w:div>
            <w:div w:id="957952377">
              <w:marLeft w:val="0"/>
              <w:marRight w:val="0"/>
              <w:marTop w:val="0"/>
              <w:marBottom w:val="0"/>
              <w:divBdr>
                <w:top w:val="none" w:sz="0" w:space="0" w:color="auto"/>
                <w:left w:val="none" w:sz="0" w:space="0" w:color="auto"/>
                <w:bottom w:val="none" w:sz="0" w:space="0" w:color="auto"/>
                <w:right w:val="none" w:sz="0" w:space="0" w:color="auto"/>
              </w:divBdr>
            </w:div>
            <w:div w:id="957952385">
              <w:marLeft w:val="0"/>
              <w:marRight w:val="0"/>
              <w:marTop w:val="0"/>
              <w:marBottom w:val="0"/>
              <w:divBdr>
                <w:top w:val="none" w:sz="0" w:space="0" w:color="auto"/>
                <w:left w:val="none" w:sz="0" w:space="0" w:color="auto"/>
                <w:bottom w:val="none" w:sz="0" w:space="0" w:color="auto"/>
                <w:right w:val="none" w:sz="0" w:space="0" w:color="auto"/>
              </w:divBdr>
            </w:div>
            <w:div w:id="9579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401">
      <w:marLeft w:val="0"/>
      <w:marRight w:val="0"/>
      <w:marTop w:val="0"/>
      <w:marBottom w:val="0"/>
      <w:divBdr>
        <w:top w:val="none" w:sz="0" w:space="0" w:color="auto"/>
        <w:left w:val="none" w:sz="0" w:space="0" w:color="auto"/>
        <w:bottom w:val="none" w:sz="0" w:space="0" w:color="auto"/>
        <w:right w:val="none" w:sz="0" w:space="0" w:color="auto"/>
      </w:divBdr>
    </w:div>
    <w:div w:id="961109288">
      <w:bodyDiv w:val="1"/>
      <w:marLeft w:val="0"/>
      <w:marRight w:val="0"/>
      <w:marTop w:val="0"/>
      <w:marBottom w:val="0"/>
      <w:divBdr>
        <w:top w:val="none" w:sz="0" w:space="0" w:color="auto"/>
        <w:left w:val="none" w:sz="0" w:space="0" w:color="auto"/>
        <w:bottom w:val="none" w:sz="0" w:space="0" w:color="auto"/>
        <w:right w:val="none" w:sz="0" w:space="0" w:color="auto"/>
      </w:divBdr>
    </w:div>
    <w:div w:id="1015380171">
      <w:bodyDiv w:val="1"/>
      <w:marLeft w:val="0"/>
      <w:marRight w:val="0"/>
      <w:marTop w:val="0"/>
      <w:marBottom w:val="0"/>
      <w:divBdr>
        <w:top w:val="none" w:sz="0" w:space="0" w:color="auto"/>
        <w:left w:val="none" w:sz="0" w:space="0" w:color="auto"/>
        <w:bottom w:val="none" w:sz="0" w:space="0" w:color="auto"/>
        <w:right w:val="none" w:sz="0" w:space="0" w:color="auto"/>
      </w:divBdr>
    </w:div>
    <w:div w:id="1041440262">
      <w:bodyDiv w:val="1"/>
      <w:marLeft w:val="0"/>
      <w:marRight w:val="0"/>
      <w:marTop w:val="0"/>
      <w:marBottom w:val="0"/>
      <w:divBdr>
        <w:top w:val="none" w:sz="0" w:space="0" w:color="auto"/>
        <w:left w:val="none" w:sz="0" w:space="0" w:color="auto"/>
        <w:bottom w:val="none" w:sz="0" w:space="0" w:color="auto"/>
        <w:right w:val="none" w:sz="0" w:space="0" w:color="auto"/>
      </w:divBdr>
    </w:div>
    <w:div w:id="1116679746">
      <w:bodyDiv w:val="1"/>
      <w:marLeft w:val="0"/>
      <w:marRight w:val="0"/>
      <w:marTop w:val="0"/>
      <w:marBottom w:val="0"/>
      <w:divBdr>
        <w:top w:val="none" w:sz="0" w:space="0" w:color="auto"/>
        <w:left w:val="none" w:sz="0" w:space="0" w:color="auto"/>
        <w:bottom w:val="none" w:sz="0" w:space="0" w:color="auto"/>
        <w:right w:val="none" w:sz="0" w:space="0" w:color="auto"/>
      </w:divBdr>
    </w:div>
    <w:div w:id="1134904010">
      <w:bodyDiv w:val="1"/>
      <w:marLeft w:val="0"/>
      <w:marRight w:val="0"/>
      <w:marTop w:val="0"/>
      <w:marBottom w:val="0"/>
      <w:divBdr>
        <w:top w:val="none" w:sz="0" w:space="0" w:color="auto"/>
        <w:left w:val="none" w:sz="0" w:space="0" w:color="auto"/>
        <w:bottom w:val="none" w:sz="0" w:space="0" w:color="auto"/>
        <w:right w:val="none" w:sz="0" w:space="0" w:color="auto"/>
      </w:divBdr>
    </w:div>
    <w:div w:id="1164783719">
      <w:bodyDiv w:val="1"/>
      <w:marLeft w:val="0"/>
      <w:marRight w:val="0"/>
      <w:marTop w:val="0"/>
      <w:marBottom w:val="0"/>
      <w:divBdr>
        <w:top w:val="none" w:sz="0" w:space="0" w:color="auto"/>
        <w:left w:val="none" w:sz="0" w:space="0" w:color="auto"/>
        <w:bottom w:val="none" w:sz="0" w:space="0" w:color="auto"/>
        <w:right w:val="none" w:sz="0" w:space="0" w:color="auto"/>
      </w:divBdr>
    </w:div>
    <w:div w:id="1179084716">
      <w:bodyDiv w:val="1"/>
      <w:marLeft w:val="0"/>
      <w:marRight w:val="0"/>
      <w:marTop w:val="0"/>
      <w:marBottom w:val="0"/>
      <w:divBdr>
        <w:top w:val="none" w:sz="0" w:space="0" w:color="auto"/>
        <w:left w:val="none" w:sz="0" w:space="0" w:color="auto"/>
        <w:bottom w:val="none" w:sz="0" w:space="0" w:color="auto"/>
        <w:right w:val="none" w:sz="0" w:space="0" w:color="auto"/>
      </w:divBdr>
    </w:div>
    <w:div w:id="1195269290">
      <w:bodyDiv w:val="1"/>
      <w:marLeft w:val="0"/>
      <w:marRight w:val="0"/>
      <w:marTop w:val="0"/>
      <w:marBottom w:val="0"/>
      <w:divBdr>
        <w:top w:val="none" w:sz="0" w:space="0" w:color="auto"/>
        <w:left w:val="none" w:sz="0" w:space="0" w:color="auto"/>
        <w:bottom w:val="none" w:sz="0" w:space="0" w:color="auto"/>
        <w:right w:val="none" w:sz="0" w:space="0" w:color="auto"/>
      </w:divBdr>
    </w:div>
    <w:div w:id="1220819996">
      <w:bodyDiv w:val="1"/>
      <w:marLeft w:val="0"/>
      <w:marRight w:val="0"/>
      <w:marTop w:val="0"/>
      <w:marBottom w:val="0"/>
      <w:divBdr>
        <w:top w:val="none" w:sz="0" w:space="0" w:color="auto"/>
        <w:left w:val="none" w:sz="0" w:space="0" w:color="auto"/>
        <w:bottom w:val="none" w:sz="0" w:space="0" w:color="auto"/>
        <w:right w:val="none" w:sz="0" w:space="0" w:color="auto"/>
      </w:divBdr>
    </w:div>
    <w:div w:id="1234897156">
      <w:bodyDiv w:val="1"/>
      <w:marLeft w:val="0"/>
      <w:marRight w:val="0"/>
      <w:marTop w:val="0"/>
      <w:marBottom w:val="0"/>
      <w:divBdr>
        <w:top w:val="none" w:sz="0" w:space="0" w:color="auto"/>
        <w:left w:val="none" w:sz="0" w:space="0" w:color="auto"/>
        <w:bottom w:val="none" w:sz="0" w:space="0" w:color="auto"/>
        <w:right w:val="none" w:sz="0" w:space="0" w:color="auto"/>
      </w:divBdr>
    </w:div>
    <w:div w:id="1247958025">
      <w:bodyDiv w:val="1"/>
      <w:marLeft w:val="0"/>
      <w:marRight w:val="0"/>
      <w:marTop w:val="0"/>
      <w:marBottom w:val="0"/>
      <w:divBdr>
        <w:top w:val="none" w:sz="0" w:space="0" w:color="auto"/>
        <w:left w:val="none" w:sz="0" w:space="0" w:color="auto"/>
        <w:bottom w:val="none" w:sz="0" w:space="0" w:color="auto"/>
        <w:right w:val="none" w:sz="0" w:space="0" w:color="auto"/>
      </w:divBdr>
    </w:div>
    <w:div w:id="1252471750">
      <w:bodyDiv w:val="1"/>
      <w:marLeft w:val="0"/>
      <w:marRight w:val="0"/>
      <w:marTop w:val="0"/>
      <w:marBottom w:val="0"/>
      <w:divBdr>
        <w:top w:val="none" w:sz="0" w:space="0" w:color="auto"/>
        <w:left w:val="none" w:sz="0" w:space="0" w:color="auto"/>
        <w:bottom w:val="none" w:sz="0" w:space="0" w:color="auto"/>
        <w:right w:val="none" w:sz="0" w:space="0" w:color="auto"/>
      </w:divBdr>
    </w:div>
    <w:div w:id="1254321581">
      <w:bodyDiv w:val="1"/>
      <w:marLeft w:val="0"/>
      <w:marRight w:val="0"/>
      <w:marTop w:val="0"/>
      <w:marBottom w:val="0"/>
      <w:divBdr>
        <w:top w:val="none" w:sz="0" w:space="0" w:color="auto"/>
        <w:left w:val="none" w:sz="0" w:space="0" w:color="auto"/>
        <w:bottom w:val="none" w:sz="0" w:space="0" w:color="auto"/>
        <w:right w:val="none" w:sz="0" w:space="0" w:color="auto"/>
      </w:divBdr>
    </w:div>
    <w:div w:id="1277978136">
      <w:bodyDiv w:val="1"/>
      <w:marLeft w:val="0"/>
      <w:marRight w:val="0"/>
      <w:marTop w:val="0"/>
      <w:marBottom w:val="0"/>
      <w:divBdr>
        <w:top w:val="none" w:sz="0" w:space="0" w:color="auto"/>
        <w:left w:val="none" w:sz="0" w:space="0" w:color="auto"/>
        <w:bottom w:val="none" w:sz="0" w:space="0" w:color="auto"/>
        <w:right w:val="none" w:sz="0" w:space="0" w:color="auto"/>
      </w:divBdr>
    </w:div>
    <w:div w:id="1326977628">
      <w:bodyDiv w:val="1"/>
      <w:marLeft w:val="0"/>
      <w:marRight w:val="0"/>
      <w:marTop w:val="0"/>
      <w:marBottom w:val="0"/>
      <w:divBdr>
        <w:top w:val="none" w:sz="0" w:space="0" w:color="auto"/>
        <w:left w:val="none" w:sz="0" w:space="0" w:color="auto"/>
        <w:bottom w:val="none" w:sz="0" w:space="0" w:color="auto"/>
        <w:right w:val="none" w:sz="0" w:space="0" w:color="auto"/>
      </w:divBdr>
    </w:div>
    <w:div w:id="1352996314">
      <w:bodyDiv w:val="1"/>
      <w:marLeft w:val="0"/>
      <w:marRight w:val="0"/>
      <w:marTop w:val="0"/>
      <w:marBottom w:val="0"/>
      <w:divBdr>
        <w:top w:val="none" w:sz="0" w:space="0" w:color="auto"/>
        <w:left w:val="none" w:sz="0" w:space="0" w:color="auto"/>
        <w:bottom w:val="none" w:sz="0" w:space="0" w:color="auto"/>
        <w:right w:val="none" w:sz="0" w:space="0" w:color="auto"/>
      </w:divBdr>
    </w:div>
    <w:div w:id="1369451687">
      <w:bodyDiv w:val="1"/>
      <w:marLeft w:val="0"/>
      <w:marRight w:val="0"/>
      <w:marTop w:val="0"/>
      <w:marBottom w:val="0"/>
      <w:divBdr>
        <w:top w:val="none" w:sz="0" w:space="0" w:color="auto"/>
        <w:left w:val="none" w:sz="0" w:space="0" w:color="auto"/>
        <w:bottom w:val="none" w:sz="0" w:space="0" w:color="auto"/>
        <w:right w:val="none" w:sz="0" w:space="0" w:color="auto"/>
      </w:divBdr>
    </w:div>
    <w:div w:id="1395157982">
      <w:bodyDiv w:val="1"/>
      <w:marLeft w:val="0"/>
      <w:marRight w:val="0"/>
      <w:marTop w:val="0"/>
      <w:marBottom w:val="0"/>
      <w:divBdr>
        <w:top w:val="none" w:sz="0" w:space="0" w:color="auto"/>
        <w:left w:val="none" w:sz="0" w:space="0" w:color="auto"/>
        <w:bottom w:val="none" w:sz="0" w:space="0" w:color="auto"/>
        <w:right w:val="none" w:sz="0" w:space="0" w:color="auto"/>
      </w:divBdr>
    </w:div>
    <w:div w:id="1429691382">
      <w:bodyDiv w:val="1"/>
      <w:marLeft w:val="0"/>
      <w:marRight w:val="0"/>
      <w:marTop w:val="0"/>
      <w:marBottom w:val="0"/>
      <w:divBdr>
        <w:top w:val="none" w:sz="0" w:space="0" w:color="auto"/>
        <w:left w:val="none" w:sz="0" w:space="0" w:color="auto"/>
        <w:bottom w:val="none" w:sz="0" w:space="0" w:color="auto"/>
        <w:right w:val="none" w:sz="0" w:space="0" w:color="auto"/>
      </w:divBdr>
    </w:div>
    <w:div w:id="1441686368">
      <w:bodyDiv w:val="1"/>
      <w:marLeft w:val="0"/>
      <w:marRight w:val="0"/>
      <w:marTop w:val="0"/>
      <w:marBottom w:val="0"/>
      <w:divBdr>
        <w:top w:val="none" w:sz="0" w:space="0" w:color="auto"/>
        <w:left w:val="none" w:sz="0" w:space="0" w:color="auto"/>
        <w:bottom w:val="none" w:sz="0" w:space="0" w:color="auto"/>
        <w:right w:val="none" w:sz="0" w:space="0" w:color="auto"/>
      </w:divBdr>
    </w:div>
    <w:div w:id="1457870386">
      <w:bodyDiv w:val="1"/>
      <w:marLeft w:val="0"/>
      <w:marRight w:val="0"/>
      <w:marTop w:val="0"/>
      <w:marBottom w:val="0"/>
      <w:divBdr>
        <w:top w:val="none" w:sz="0" w:space="0" w:color="auto"/>
        <w:left w:val="none" w:sz="0" w:space="0" w:color="auto"/>
        <w:bottom w:val="none" w:sz="0" w:space="0" w:color="auto"/>
        <w:right w:val="none" w:sz="0" w:space="0" w:color="auto"/>
      </w:divBdr>
    </w:div>
    <w:div w:id="1496187006">
      <w:bodyDiv w:val="1"/>
      <w:marLeft w:val="0"/>
      <w:marRight w:val="0"/>
      <w:marTop w:val="0"/>
      <w:marBottom w:val="0"/>
      <w:divBdr>
        <w:top w:val="none" w:sz="0" w:space="0" w:color="auto"/>
        <w:left w:val="none" w:sz="0" w:space="0" w:color="auto"/>
        <w:bottom w:val="none" w:sz="0" w:space="0" w:color="auto"/>
        <w:right w:val="none" w:sz="0" w:space="0" w:color="auto"/>
      </w:divBdr>
    </w:div>
    <w:div w:id="1522085854">
      <w:bodyDiv w:val="1"/>
      <w:marLeft w:val="0"/>
      <w:marRight w:val="0"/>
      <w:marTop w:val="0"/>
      <w:marBottom w:val="0"/>
      <w:divBdr>
        <w:top w:val="none" w:sz="0" w:space="0" w:color="auto"/>
        <w:left w:val="none" w:sz="0" w:space="0" w:color="auto"/>
        <w:bottom w:val="none" w:sz="0" w:space="0" w:color="auto"/>
        <w:right w:val="none" w:sz="0" w:space="0" w:color="auto"/>
      </w:divBdr>
    </w:div>
    <w:div w:id="1548492067">
      <w:bodyDiv w:val="1"/>
      <w:marLeft w:val="0"/>
      <w:marRight w:val="0"/>
      <w:marTop w:val="0"/>
      <w:marBottom w:val="0"/>
      <w:divBdr>
        <w:top w:val="none" w:sz="0" w:space="0" w:color="auto"/>
        <w:left w:val="none" w:sz="0" w:space="0" w:color="auto"/>
        <w:bottom w:val="none" w:sz="0" w:space="0" w:color="auto"/>
        <w:right w:val="none" w:sz="0" w:space="0" w:color="auto"/>
      </w:divBdr>
    </w:div>
    <w:div w:id="1575240075">
      <w:bodyDiv w:val="1"/>
      <w:marLeft w:val="0"/>
      <w:marRight w:val="0"/>
      <w:marTop w:val="0"/>
      <w:marBottom w:val="0"/>
      <w:divBdr>
        <w:top w:val="none" w:sz="0" w:space="0" w:color="auto"/>
        <w:left w:val="none" w:sz="0" w:space="0" w:color="auto"/>
        <w:bottom w:val="none" w:sz="0" w:space="0" w:color="auto"/>
        <w:right w:val="none" w:sz="0" w:space="0" w:color="auto"/>
      </w:divBdr>
    </w:div>
    <w:div w:id="1621110079">
      <w:bodyDiv w:val="1"/>
      <w:marLeft w:val="0"/>
      <w:marRight w:val="0"/>
      <w:marTop w:val="0"/>
      <w:marBottom w:val="0"/>
      <w:divBdr>
        <w:top w:val="none" w:sz="0" w:space="0" w:color="auto"/>
        <w:left w:val="none" w:sz="0" w:space="0" w:color="auto"/>
        <w:bottom w:val="none" w:sz="0" w:space="0" w:color="auto"/>
        <w:right w:val="none" w:sz="0" w:space="0" w:color="auto"/>
      </w:divBdr>
    </w:div>
    <w:div w:id="1628656801">
      <w:bodyDiv w:val="1"/>
      <w:marLeft w:val="0"/>
      <w:marRight w:val="0"/>
      <w:marTop w:val="0"/>
      <w:marBottom w:val="0"/>
      <w:divBdr>
        <w:top w:val="none" w:sz="0" w:space="0" w:color="auto"/>
        <w:left w:val="none" w:sz="0" w:space="0" w:color="auto"/>
        <w:bottom w:val="none" w:sz="0" w:space="0" w:color="auto"/>
        <w:right w:val="none" w:sz="0" w:space="0" w:color="auto"/>
      </w:divBdr>
    </w:div>
    <w:div w:id="1664580391">
      <w:bodyDiv w:val="1"/>
      <w:marLeft w:val="0"/>
      <w:marRight w:val="0"/>
      <w:marTop w:val="0"/>
      <w:marBottom w:val="0"/>
      <w:divBdr>
        <w:top w:val="none" w:sz="0" w:space="0" w:color="auto"/>
        <w:left w:val="none" w:sz="0" w:space="0" w:color="auto"/>
        <w:bottom w:val="none" w:sz="0" w:space="0" w:color="auto"/>
        <w:right w:val="none" w:sz="0" w:space="0" w:color="auto"/>
      </w:divBdr>
    </w:div>
    <w:div w:id="1678539776">
      <w:bodyDiv w:val="1"/>
      <w:marLeft w:val="0"/>
      <w:marRight w:val="0"/>
      <w:marTop w:val="0"/>
      <w:marBottom w:val="0"/>
      <w:divBdr>
        <w:top w:val="none" w:sz="0" w:space="0" w:color="auto"/>
        <w:left w:val="none" w:sz="0" w:space="0" w:color="auto"/>
        <w:bottom w:val="none" w:sz="0" w:space="0" w:color="auto"/>
        <w:right w:val="none" w:sz="0" w:space="0" w:color="auto"/>
      </w:divBdr>
    </w:div>
    <w:div w:id="1711567591">
      <w:bodyDiv w:val="1"/>
      <w:marLeft w:val="0"/>
      <w:marRight w:val="0"/>
      <w:marTop w:val="0"/>
      <w:marBottom w:val="0"/>
      <w:divBdr>
        <w:top w:val="none" w:sz="0" w:space="0" w:color="auto"/>
        <w:left w:val="none" w:sz="0" w:space="0" w:color="auto"/>
        <w:bottom w:val="none" w:sz="0" w:space="0" w:color="auto"/>
        <w:right w:val="none" w:sz="0" w:space="0" w:color="auto"/>
      </w:divBdr>
    </w:div>
    <w:div w:id="1732459337">
      <w:bodyDiv w:val="1"/>
      <w:marLeft w:val="0"/>
      <w:marRight w:val="0"/>
      <w:marTop w:val="0"/>
      <w:marBottom w:val="0"/>
      <w:divBdr>
        <w:top w:val="none" w:sz="0" w:space="0" w:color="auto"/>
        <w:left w:val="none" w:sz="0" w:space="0" w:color="auto"/>
        <w:bottom w:val="none" w:sz="0" w:space="0" w:color="auto"/>
        <w:right w:val="none" w:sz="0" w:space="0" w:color="auto"/>
      </w:divBdr>
    </w:div>
    <w:div w:id="1734738108">
      <w:bodyDiv w:val="1"/>
      <w:marLeft w:val="0"/>
      <w:marRight w:val="0"/>
      <w:marTop w:val="0"/>
      <w:marBottom w:val="0"/>
      <w:divBdr>
        <w:top w:val="none" w:sz="0" w:space="0" w:color="auto"/>
        <w:left w:val="none" w:sz="0" w:space="0" w:color="auto"/>
        <w:bottom w:val="none" w:sz="0" w:space="0" w:color="auto"/>
        <w:right w:val="none" w:sz="0" w:space="0" w:color="auto"/>
      </w:divBdr>
    </w:div>
    <w:div w:id="1814835387">
      <w:bodyDiv w:val="1"/>
      <w:marLeft w:val="0"/>
      <w:marRight w:val="0"/>
      <w:marTop w:val="0"/>
      <w:marBottom w:val="0"/>
      <w:divBdr>
        <w:top w:val="none" w:sz="0" w:space="0" w:color="auto"/>
        <w:left w:val="none" w:sz="0" w:space="0" w:color="auto"/>
        <w:bottom w:val="none" w:sz="0" w:space="0" w:color="auto"/>
        <w:right w:val="none" w:sz="0" w:space="0" w:color="auto"/>
      </w:divBdr>
    </w:div>
    <w:div w:id="1833641075">
      <w:bodyDiv w:val="1"/>
      <w:marLeft w:val="0"/>
      <w:marRight w:val="0"/>
      <w:marTop w:val="0"/>
      <w:marBottom w:val="0"/>
      <w:divBdr>
        <w:top w:val="none" w:sz="0" w:space="0" w:color="auto"/>
        <w:left w:val="none" w:sz="0" w:space="0" w:color="auto"/>
        <w:bottom w:val="none" w:sz="0" w:space="0" w:color="auto"/>
        <w:right w:val="none" w:sz="0" w:space="0" w:color="auto"/>
      </w:divBdr>
    </w:div>
    <w:div w:id="1860393568">
      <w:bodyDiv w:val="1"/>
      <w:marLeft w:val="0"/>
      <w:marRight w:val="0"/>
      <w:marTop w:val="0"/>
      <w:marBottom w:val="0"/>
      <w:divBdr>
        <w:top w:val="none" w:sz="0" w:space="0" w:color="auto"/>
        <w:left w:val="none" w:sz="0" w:space="0" w:color="auto"/>
        <w:bottom w:val="none" w:sz="0" w:space="0" w:color="auto"/>
        <w:right w:val="none" w:sz="0" w:space="0" w:color="auto"/>
      </w:divBdr>
    </w:div>
    <w:div w:id="1880431407">
      <w:bodyDiv w:val="1"/>
      <w:marLeft w:val="0"/>
      <w:marRight w:val="0"/>
      <w:marTop w:val="0"/>
      <w:marBottom w:val="0"/>
      <w:divBdr>
        <w:top w:val="none" w:sz="0" w:space="0" w:color="auto"/>
        <w:left w:val="none" w:sz="0" w:space="0" w:color="auto"/>
        <w:bottom w:val="none" w:sz="0" w:space="0" w:color="auto"/>
        <w:right w:val="none" w:sz="0" w:space="0" w:color="auto"/>
      </w:divBdr>
    </w:div>
    <w:div w:id="1909922706">
      <w:bodyDiv w:val="1"/>
      <w:marLeft w:val="0"/>
      <w:marRight w:val="0"/>
      <w:marTop w:val="0"/>
      <w:marBottom w:val="0"/>
      <w:divBdr>
        <w:top w:val="none" w:sz="0" w:space="0" w:color="auto"/>
        <w:left w:val="none" w:sz="0" w:space="0" w:color="auto"/>
        <w:bottom w:val="none" w:sz="0" w:space="0" w:color="auto"/>
        <w:right w:val="none" w:sz="0" w:space="0" w:color="auto"/>
      </w:divBdr>
    </w:div>
    <w:div w:id="1938058297">
      <w:bodyDiv w:val="1"/>
      <w:marLeft w:val="0"/>
      <w:marRight w:val="0"/>
      <w:marTop w:val="0"/>
      <w:marBottom w:val="0"/>
      <w:divBdr>
        <w:top w:val="none" w:sz="0" w:space="0" w:color="auto"/>
        <w:left w:val="none" w:sz="0" w:space="0" w:color="auto"/>
        <w:bottom w:val="none" w:sz="0" w:space="0" w:color="auto"/>
        <w:right w:val="none" w:sz="0" w:space="0" w:color="auto"/>
      </w:divBdr>
    </w:div>
    <w:div w:id="2012826683">
      <w:bodyDiv w:val="1"/>
      <w:marLeft w:val="0"/>
      <w:marRight w:val="0"/>
      <w:marTop w:val="0"/>
      <w:marBottom w:val="0"/>
      <w:divBdr>
        <w:top w:val="none" w:sz="0" w:space="0" w:color="auto"/>
        <w:left w:val="none" w:sz="0" w:space="0" w:color="auto"/>
        <w:bottom w:val="none" w:sz="0" w:space="0" w:color="auto"/>
        <w:right w:val="none" w:sz="0" w:space="0" w:color="auto"/>
      </w:divBdr>
    </w:div>
    <w:div w:id="2013022915">
      <w:bodyDiv w:val="1"/>
      <w:marLeft w:val="0"/>
      <w:marRight w:val="0"/>
      <w:marTop w:val="0"/>
      <w:marBottom w:val="0"/>
      <w:divBdr>
        <w:top w:val="none" w:sz="0" w:space="0" w:color="auto"/>
        <w:left w:val="none" w:sz="0" w:space="0" w:color="auto"/>
        <w:bottom w:val="none" w:sz="0" w:space="0" w:color="auto"/>
        <w:right w:val="none" w:sz="0" w:space="0" w:color="auto"/>
      </w:divBdr>
    </w:div>
    <w:div w:id="2034912210">
      <w:bodyDiv w:val="1"/>
      <w:marLeft w:val="0"/>
      <w:marRight w:val="0"/>
      <w:marTop w:val="0"/>
      <w:marBottom w:val="0"/>
      <w:divBdr>
        <w:top w:val="none" w:sz="0" w:space="0" w:color="auto"/>
        <w:left w:val="none" w:sz="0" w:space="0" w:color="auto"/>
        <w:bottom w:val="none" w:sz="0" w:space="0" w:color="auto"/>
        <w:right w:val="none" w:sz="0" w:space="0" w:color="auto"/>
      </w:divBdr>
    </w:div>
    <w:div w:id="2046171754">
      <w:bodyDiv w:val="1"/>
      <w:marLeft w:val="0"/>
      <w:marRight w:val="0"/>
      <w:marTop w:val="0"/>
      <w:marBottom w:val="0"/>
      <w:divBdr>
        <w:top w:val="none" w:sz="0" w:space="0" w:color="auto"/>
        <w:left w:val="none" w:sz="0" w:space="0" w:color="auto"/>
        <w:bottom w:val="none" w:sz="0" w:space="0" w:color="auto"/>
        <w:right w:val="none" w:sz="0" w:space="0" w:color="auto"/>
      </w:divBdr>
    </w:div>
    <w:div w:id="2049913253">
      <w:bodyDiv w:val="1"/>
      <w:marLeft w:val="0"/>
      <w:marRight w:val="0"/>
      <w:marTop w:val="0"/>
      <w:marBottom w:val="0"/>
      <w:divBdr>
        <w:top w:val="none" w:sz="0" w:space="0" w:color="auto"/>
        <w:left w:val="none" w:sz="0" w:space="0" w:color="auto"/>
        <w:bottom w:val="none" w:sz="0" w:space="0" w:color="auto"/>
        <w:right w:val="none" w:sz="0" w:space="0" w:color="auto"/>
      </w:divBdr>
    </w:div>
    <w:div w:id="20598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utorita-trasporti.it/wp-content/uploads/2013/11/Delibera-nr.-75-2016-english-version.pdf" TargetMode="External"/><Relationship Id="rId1" Type="http://schemas.openxmlformats.org/officeDocument/2006/relationships/hyperlink" Target="http://www.autorita-trasporti.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ne\AppData\Roaming\Microsoft\Templates\Informal%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E181-EB3F-42F5-A0FD-F4E9330E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Informal meeting agenda</Template>
  <TotalTime>2</TotalTime>
  <Pages>78</Pages>
  <Words>20699</Words>
  <Characters>109655</Characters>
  <Application>Microsoft Office Word</Application>
  <DocSecurity>0</DocSecurity>
  <Lines>913</Lines>
  <Paragraphs>260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Lustrum Congres Teambijeenkomst</vt:lpstr>
      <vt:lpstr>Lustrum Congres Teambijeenkomst</vt:lpstr>
      <vt:lpstr>Lustrum Congres Teambijeenkomst</vt:lpstr>
    </vt:vector>
  </TitlesOfParts>
  <Company>Microsoft</Company>
  <LinksUpToDate>false</LinksUpToDate>
  <CharactersWithSpaces>130094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Lustrum Congres Teambijeenkomst</dc:title>
  <dc:creator>Claudine</dc:creator>
  <cp:lastModifiedBy>DEVOIZE Pierre</cp:lastModifiedBy>
  <cp:revision>3</cp:revision>
  <cp:lastPrinted>2016-10-03T13:14:00Z</cp:lastPrinted>
  <dcterms:created xsi:type="dcterms:W3CDTF">2017-12-01T17:15:00Z</dcterms:created>
  <dcterms:modified xsi:type="dcterms:W3CDTF">2017-12-11T11:01:00Z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TC062433721043</vt:lpwstr>
  </property>
</Properties>
</file>